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71" w:rsidRDefault="00B90D71" w:rsidP="0029083B">
      <w:pPr>
        <w:ind w:firstLine="0"/>
        <w:jc w:val="center"/>
        <w:rPr>
          <w:b/>
          <w:bCs/>
        </w:rPr>
      </w:pPr>
    </w:p>
    <w:p w:rsidR="00B90D71" w:rsidRPr="004F7A69" w:rsidRDefault="00B90D71" w:rsidP="0029083B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INFLUÊNCIA DOS GASES DE PROTEÇÃO NA MOLHABILIDADE DE DEPÓSITOS DE AÇO INOXIDÁVEL E LIGA DE INCONEL SOBRE AÇO CARBONO EM SOLDAGENS DE RESVESTIMENTO UTILIZANDO O PROCESSO MIG/MAG </w:t>
      </w:r>
    </w:p>
    <w:p w:rsidR="00B90D71" w:rsidRDefault="00B90D71" w:rsidP="0029083B">
      <w:pPr>
        <w:ind w:firstLine="0"/>
        <w:jc w:val="right"/>
        <w:rPr>
          <w:b/>
          <w:bCs/>
        </w:rPr>
      </w:pPr>
    </w:p>
    <w:p w:rsidR="00B90D71" w:rsidRDefault="00B90D71" w:rsidP="0029083B">
      <w:pPr>
        <w:ind w:firstLine="0"/>
        <w:jc w:val="right"/>
        <w:rPr>
          <w:b/>
          <w:bCs/>
        </w:rPr>
      </w:pPr>
    </w:p>
    <w:p w:rsidR="00B90D71" w:rsidRDefault="00B90D71" w:rsidP="0029083B">
      <w:pPr>
        <w:ind w:firstLine="0"/>
        <w:jc w:val="right"/>
        <w:rPr>
          <w:b/>
          <w:bCs/>
        </w:rPr>
      </w:pPr>
      <w:r>
        <w:rPr>
          <w:b/>
          <w:bCs/>
        </w:rPr>
        <w:t xml:space="preserve">ZILIO, Gabriel Botelho     </w:t>
      </w:r>
    </w:p>
    <w:p w:rsidR="00B90D71" w:rsidRDefault="00B90D71" w:rsidP="0029083B">
      <w:pPr>
        <w:ind w:firstLine="0"/>
        <w:jc w:val="right"/>
        <w:rPr>
          <w:b/>
          <w:bCs/>
        </w:rPr>
      </w:pPr>
      <w:r>
        <w:rPr>
          <w:b/>
          <w:bCs/>
        </w:rPr>
        <w:t xml:space="preserve">SOUZA, Daniel  </w:t>
      </w:r>
    </w:p>
    <w:p w:rsidR="00B90D71" w:rsidRDefault="00B90D71" w:rsidP="00A771C1">
      <w:pPr>
        <w:ind w:firstLine="0"/>
        <w:jc w:val="right"/>
        <w:rPr>
          <w:b/>
          <w:bCs/>
        </w:rPr>
      </w:pPr>
      <w:r>
        <w:rPr>
          <w:b/>
          <w:bCs/>
        </w:rPr>
        <w:t>gabriel_zilio@yahoo.com.br</w:t>
      </w:r>
    </w:p>
    <w:p w:rsidR="00B90D71" w:rsidRDefault="00B90D71" w:rsidP="00A771C1">
      <w:pPr>
        <w:ind w:firstLine="0"/>
        <w:jc w:val="right"/>
        <w:rPr>
          <w:b/>
          <w:bCs/>
        </w:rPr>
      </w:pPr>
    </w:p>
    <w:p w:rsidR="00B90D71" w:rsidRDefault="00B90D71" w:rsidP="00711AA3">
      <w:pPr>
        <w:ind w:firstLine="0"/>
        <w:jc w:val="right"/>
        <w:rPr>
          <w:b/>
          <w:bCs/>
        </w:rPr>
      </w:pPr>
      <w:r>
        <w:rPr>
          <w:b/>
          <w:bCs/>
        </w:rPr>
        <w:t>Evento: Congresso de Iniciação Cientifica</w:t>
      </w:r>
    </w:p>
    <w:p w:rsidR="00B90D71" w:rsidRDefault="00B90D71" w:rsidP="00711AA3">
      <w:pPr>
        <w:ind w:firstLine="0"/>
        <w:jc w:val="right"/>
        <w:rPr>
          <w:b/>
          <w:bCs/>
        </w:rPr>
      </w:pPr>
      <w:r w:rsidRPr="00FB3E05">
        <w:rPr>
          <w:b/>
          <w:bCs/>
        </w:rPr>
        <w:t xml:space="preserve">Área do conhecimento: </w:t>
      </w:r>
      <w:r>
        <w:rPr>
          <w:b/>
          <w:bCs/>
        </w:rPr>
        <w:t>Metalurgia de Transformação</w:t>
      </w:r>
    </w:p>
    <w:p w:rsidR="00B90D71" w:rsidRPr="00FB3E05" w:rsidRDefault="00B90D71" w:rsidP="00B54B9A">
      <w:pPr>
        <w:ind w:firstLine="0"/>
        <w:jc w:val="center"/>
        <w:rPr>
          <w:b/>
          <w:bCs/>
        </w:rPr>
      </w:pPr>
    </w:p>
    <w:p w:rsidR="00B90D71" w:rsidRPr="009F1118" w:rsidRDefault="00B90D71" w:rsidP="009F1118">
      <w:pPr>
        <w:ind w:firstLine="0"/>
        <w:rPr>
          <w:b/>
          <w:bCs/>
        </w:rPr>
      </w:pPr>
      <w:r w:rsidRPr="009F1118">
        <w:rPr>
          <w:b/>
          <w:bCs/>
        </w:rPr>
        <w:t>Palavras-chave</w:t>
      </w:r>
      <w:r>
        <w:rPr>
          <w:b/>
          <w:bCs/>
        </w:rPr>
        <w:t xml:space="preserve"> </w:t>
      </w:r>
      <w:r>
        <w:t>Soldagem de Revestimento, Molhabilidade, Inconel</w:t>
      </w:r>
    </w:p>
    <w:p w:rsidR="00B90D71" w:rsidRPr="00FB3E05" w:rsidRDefault="00B90D71" w:rsidP="0029083B">
      <w:pPr>
        <w:pStyle w:val="Ttulodaseoprimria"/>
      </w:pPr>
    </w:p>
    <w:p w:rsidR="00B90D71" w:rsidRPr="007345DE" w:rsidRDefault="00B90D71" w:rsidP="0029083B">
      <w:pPr>
        <w:pStyle w:val="Ttulodaseoprimria"/>
      </w:pPr>
      <w:r w:rsidRPr="007345DE">
        <w:t>1 INTRODUÇÃO</w:t>
      </w:r>
    </w:p>
    <w:p w:rsidR="00B90D71" w:rsidRDefault="00B90D71" w:rsidP="0029083B">
      <w:pPr>
        <w:ind w:left="709" w:firstLine="0"/>
      </w:pPr>
    </w:p>
    <w:p w:rsidR="00B90D71" w:rsidRPr="00AE53A0" w:rsidRDefault="00B90D71" w:rsidP="00BB2F0C">
      <w:r>
        <w:t xml:space="preserve">A soldagem de revestimento de proteção contra corrosão consiste no revestimento de metais menos nobres, como aço carbono, com ligas de metais nobres que possuem elevada resistência à corrosão, como aços inoxidáveis e superligas de níquel (Inconel). Um dos problemas encontrados no revestimento utilizado estes materiais de adição é a molhabilidade do cordão (BAIXO E DUTRA, 2009). Assim, o objetivo do presente trabalho é verificar a influência da composição do gás de proteção na molhabilidade do cordão de solda em revestimentos utilizando os arames-eletrodo AWS </w:t>
      </w:r>
      <w:r w:rsidRPr="00A46DA3">
        <w:t xml:space="preserve">E316LSi </w:t>
      </w:r>
      <w:r>
        <w:t xml:space="preserve">(aço inoxidável) </w:t>
      </w:r>
      <w:r w:rsidRPr="00A46DA3">
        <w:t xml:space="preserve">e </w:t>
      </w:r>
      <w:r>
        <w:t>AWS ERNiCrMo-3 (liga de níquel).</w:t>
      </w:r>
    </w:p>
    <w:p w:rsidR="00B90D71" w:rsidRPr="004D3431" w:rsidRDefault="00B90D71" w:rsidP="0029083B"/>
    <w:p w:rsidR="00B90D71" w:rsidRDefault="00B90D71" w:rsidP="0029083B">
      <w:pPr>
        <w:pStyle w:val="Ttulodaseoprimria"/>
      </w:pPr>
      <w:r w:rsidRPr="00FA5B50">
        <w:t>2 MATERIAIS E MÉTODOS</w:t>
      </w:r>
      <w:r>
        <w:t xml:space="preserve"> </w:t>
      </w:r>
    </w:p>
    <w:p w:rsidR="00B90D71" w:rsidRPr="00FA5B50" w:rsidRDefault="00B90D71" w:rsidP="0029083B">
      <w:pPr>
        <w:pStyle w:val="Ttulodaseoprimria"/>
      </w:pPr>
    </w:p>
    <w:p w:rsidR="00B90D71" w:rsidRDefault="00B90D71" w:rsidP="00316EDC">
      <w:r>
        <w:t>Para a soldagem foi utilizada uma fonte de soldagem eletrônica de tensão constante. Foi utilizada uma placa de teste de aço comum ao carbono de 300 x 100 x 6,2 mm. Os gases de proteção utilizados foram:</w:t>
      </w:r>
    </w:p>
    <w:p w:rsidR="00B90D71" w:rsidRPr="003E1C27" w:rsidRDefault="00B90D71" w:rsidP="00316EDC"/>
    <w:p w:rsidR="00B90D71" w:rsidRPr="008B01A4" w:rsidRDefault="00B90D71" w:rsidP="00BB75AE">
      <w:pPr>
        <w:numPr>
          <w:ilvl w:val="0"/>
          <w:numId w:val="4"/>
        </w:numPr>
      </w:pPr>
      <w:r w:rsidRPr="008B01A4">
        <w:t>100% Argônio</w:t>
      </w:r>
      <w:r>
        <w:t>,</w:t>
      </w:r>
    </w:p>
    <w:p w:rsidR="00B90D71" w:rsidRPr="008B01A4" w:rsidRDefault="00B90D71" w:rsidP="00BB75AE">
      <w:pPr>
        <w:numPr>
          <w:ilvl w:val="0"/>
          <w:numId w:val="4"/>
        </w:numPr>
      </w:pPr>
      <w:r w:rsidRPr="008B01A4">
        <w:t>Argônio + 2% de O</w:t>
      </w:r>
      <w:r w:rsidRPr="008B01A4">
        <w:rPr>
          <w:rFonts w:ascii="Calibri" w:hAnsi="Calibri" w:cs="Calibri"/>
        </w:rPr>
        <w:t>₂</w:t>
      </w:r>
      <w:r>
        <w:rPr>
          <w:rFonts w:ascii="Calibri" w:hAnsi="Calibri" w:cs="Calibri"/>
        </w:rPr>
        <w:t>,</w:t>
      </w:r>
    </w:p>
    <w:p w:rsidR="00B90D71" w:rsidRPr="008B01A4" w:rsidRDefault="00B90D71" w:rsidP="00BB75AE">
      <w:pPr>
        <w:numPr>
          <w:ilvl w:val="0"/>
          <w:numId w:val="4"/>
        </w:numPr>
      </w:pPr>
      <w:r w:rsidRPr="008B01A4">
        <w:t>Argônio + 8% de CO</w:t>
      </w:r>
      <w:r w:rsidRPr="008B01A4">
        <w:rPr>
          <w:rFonts w:ascii="Calibri" w:hAnsi="Calibri" w:cs="Calibri"/>
        </w:rPr>
        <w:t>₂</w:t>
      </w:r>
      <w:r>
        <w:rPr>
          <w:rFonts w:ascii="Calibri" w:hAnsi="Calibri" w:cs="Calibri"/>
        </w:rPr>
        <w:t>,</w:t>
      </w:r>
    </w:p>
    <w:p w:rsidR="00B90D71" w:rsidRPr="008B01A4" w:rsidRDefault="00B90D71" w:rsidP="00BB75AE">
      <w:pPr>
        <w:numPr>
          <w:ilvl w:val="0"/>
          <w:numId w:val="4"/>
        </w:numPr>
      </w:pPr>
      <w:r w:rsidRPr="008B01A4">
        <w:t>Argônio + 25% de CO</w:t>
      </w:r>
      <w:r w:rsidRPr="008B01A4">
        <w:rPr>
          <w:rFonts w:ascii="Calibri" w:hAnsi="Calibri" w:cs="Calibri"/>
        </w:rPr>
        <w:t>₂</w:t>
      </w:r>
      <w:r>
        <w:rPr>
          <w:rFonts w:ascii="Calibri" w:hAnsi="Calibri" w:cs="Calibri"/>
        </w:rPr>
        <w:t>,</w:t>
      </w:r>
    </w:p>
    <w:p w:rsidR="00B90D71" w:rsidRPr="008B01A4" w:rsidRDefault="00B90D71" w:rsidP="00BB75AE">
      <w:pPr>
        <w:numPr>
          <w:ilvl w:val="0"/>
          <w:numId w:val="4"/>
        </w:numPr>
      </w:pPr>
      <w:r w:rsidRPr="008B01A4">
        <w:t>100% de CO</w:t>
      </w:r>
      <w:r w:rsidRPr="008B01A4">
        <w:rPr>
          <w:rFonts w:ascii="Calibri" w:hAnsi="Calibri" w:cs="Calibri"/>
        </w:rPr>
        <w:t>₂</w:t>
      </w:r>
      <w:r>
        <w:rPr>
          <w:rFonts w:ascii="Calibri" w:hAnsi="Calibri" w:cs="Calibri"/>
        </w:rPr>
        <w:t>.</w:t>
      </w:r>
    </w:p>
    <w:p w:rsidR="00B90D71" w:rsidRDefault="00B90D71" w:rsidP="00316EDC">
      <w:pPr>
        <w:ind w:left="708" w:firstLine="0"/>
      </w:pPr>
    </w:p>
    <w:p w:rsidR="00B90D71" w:rsidRDefault="00B90D71" w:rsidP="008E4B17">
      <w:r>
        <w:t xml:space="preserve">Variando a utilização dos gases listados acima, foram realizadas soldagens sobre chapa. A velocidade de alimentação do arame foi regulada de forma a se obter uma corrente de soldagem de aproximadamente 140 A para todos os testes e o comprimento de arco foi mantido o mesmo. Após as soldagens foi medido o reforço e a largura do cordão e calculado a razão R/L, que indiretamente apresenta uma medida da molhabilidade. </w:t>
      </w:r>
    </w:p>
    <w:p w:rsidR="00B90D71" w:rsidRDefault="00B90D71" w:rsidP="008359DF">
      <w:pPr>
        <w:ind w:firstLine="0"/>
      </w:pPr>
      <w:r>
        <w:tab/>
      </w:r>
    </w:p>
    <w:p w:rsidR="00B90D71" w:rsidRDefault="00B90D71" w:rsidP="0029083B">
      <w:pPr>
        <w:pStyle w:val="Ttulodaseoprimria"/>
      </w:pPr>
    </w:p>
    <w:p w:rsidR="00B90D71" w:rsidRDefault="00B90D71" w:rsidP="0029083B">
      <w:pPr>
        <w:pStyle w:val="Ttulodaseoprimria"/>
      </w:pPr>
    </w:p>
    <w:p w:rsidR="00B90D71" w:rsidRPr="00D8090F" w:rsidRDefault="00B90D71" w:rsidP="0029083B">
      <w:pPr>
        <w:pStyle w:val="Ttulodaseoprimria"/>
      </w:pPr>
      <w:r>
        <w:t>3</w:t>
      </w:r>
      <w:r w:rsidRPr="00D8090F">
        <w:t xml:space="preserve"> </w:t>
      </w:r>
      <w:r>
        <w:t xml:space="preserve">RESULTADOS e DISCUSSÃO </w:t>
      </w:r>
    </w:p>
    <w:p w:rsidR="00B90D71" w:rsidRDefault="00B90D71" w:rsidP="0029083B">
      <w:pPr>
        <w:pStyle w:val="Leyendadefiguraotabla"/>
        <w:spacing w:before="0" w:after="0"/>
        <w:ind w:firstLine="0"/>
        <w:jc w:val="both"/>
        <w:rPr>
          <w:i w:val="0"/>
          <w:iCs w:val="0"/>
          <w:kern w:val="1"/>
          <w:sz w:val="24"/>
          <w:szCs w:val="24"/>
          <w:lang w:val="pt-BR" w:eastAsia="pt-BR"/>
        </w:rPr>
      </w:pPr>
    </w:p>
    <w:p w:rsidR="00B90D71" w:rsidRDefault="00B90D71" w:rsidP="0029083B">
      <w:pPr>
        <w:pStyle w:val="Leyendadefiguraotabla"/>
        <w:spacing w:before="0" w:after="0"/>
        <w:ind w:firstLine="0"/>
        <w:jc w:val="both"/>
        <w:rPr>
          <w:i w:val="0"/>
          <w:iCs w:val="0"/>
          <w:kern w:val="1"/>
          <w:sz w:val="24"/>
          <w:szCs w:val="24"/>
          <w:lang w:val="pt-BR" w:eastAsia="pt-BR"/>
        </w:rPr>
      </w:pPr>
      <w:r>
        <w:rPr>
          <w:i w:val="0"/>
          <w:iCs w:val="0"/>
          <w:kern w:val="1"/>
          <w:sz w:val="24"/>
          <w:szCs w:val="24"/>
          <w:lang w:val="pt-BR" w:eastAsia="pt-BR"/>
        </w:rPr>
        <w:tab/>
        <w:t>A Figura 1 apresenta os resultados dos valores de R/L em função do gás de proteção utilizado para cada arame.</w:t>
      </w:r>
    </w:p>
    <w:p w:rsidR="00B90D71" w:rsidRDefault="00B90D71" w:rsidP="0029083B">
      <w:pPr>
        <w:pStyle w:val="Leyendadefiguraotabla"/>
        <w:spacing w:before="0" w:after="0"/>
        <w:ind w:firstLine="0"/>
        <w:jc w:val="both"/>
        <w:rPr>
          <w:i w:val="0"/>
          <w:iCs w:val="0"/>
          <w:kern w:val="1"/>
          <w:sz w:val="24"/>
          <w:szCs w:val="24"/>
          <w:lang w:val="pt-BR" w:eastAsia="pt-BR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9"/>
        <w:gridCol w:w="4666"/>
      </w:tblGrid>
      <w:tr w:rsidR="00B90D71">
        <w:tc>
          <w:tcPr>
            <w:tcW w:w="2500" w:type="pct"/>
          </w:tcPr>
          <w:p w:rsidR="00B90D71" w:rsidRPr="00863762" w:rsidRDefault="00B90D71" w:rsidP="00863762">
            <w:pPr>
              <w:pStyle w:val="Leyendadefiguraotabla"/>
              <w:spacing w:before="0" w:after="0"/>
              <w:ind w:firstLine="0"/>
              <w:jc w:val="both"/>
              <w:rPr>
                <w:i w:val="0"/>
                <w:iCs w:val="0"/>
                <w:sz w:val="22"/>
                <w:szCs w:val="22"/>
                <w:lang w:val="pt-BR"/>
              </w:rPr>
            </w:pPr>
            <w:r w:rsidRPr="002E1324">
              <w:rPr>
                <w:i w:val="0"/>
                <w:iCs w:val="0"/>
                <w:noProof/>
                <w:sz w:val="22"/>
                <w:szCs w:val="22"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i1025" type="#_x0000_t75" style="width:225pt;height:149.25pt;visibility:visible">
                  <v:imagedata r:id="rId7" o:title=""/>
                </v:shape>
              </w:pict>
            </w:r>
          </w:p>
        </w:tc>
        <w:tc>
          <w:tcPr>
            <w:tcW w:w="2500" w:type="pct"/>
          </w:tcPr>
          <w:p w:rsidR="00B90D71" w:rsidRPr="00863762" w:rsidRDefault="00B90D71" w:rsidP="00863762">
            <w:pPr>
              <w:pStyle w:val="Leyendadefiguraotabla"/>
              <w:spacing w:before="0" w:after="0"/>
              <w:ind w:firstLine="0"/>
              <w:rPr>
                <w:i w:val="0"/>
                <w:iCs w:val="0"/>
                <w:sz w:val="22"/>
                <w:szCs w:val="22"/>
                <w:lang w:val="pt-BR"/>
              </w:rPr>
            </w:pPr>
            <w:r w:rsidRPr="002E1324">
              <w:rPr>
                <w:i w:val="0"/>
                <w:iCs w:val="0"/>
                <w:noProof/>
                <w:sz w:val="22"/>
                <w:szCs w:val="22"/>
                <w:lang w:val="pt-BR" w:eastAsia="pt-BR"/>
              </w:rPr>
              <w:pict>
                <v:shape id="Imagem 13" o:spid="_x0000_i1026" type="#_x0000_t75" style="width:222.75pt;height:149.25pt;visibility:visible">
                  <v:imagedata r:id="rId8" o:title=""/>
                </v:shape>
              </w:pict>
            </w:r>
          </w:p>
        </w:tc>
      </w:tr>
      <w:tr w:rsidR="00B90D71" w:rsidRPr="009E744C">
        <w:tc>
          <w:tcPr>
            <w:tcW w:w="2500" w:type="pct"/>
          </w:tcPr>
          <w:p w:rsidR="00B90D71" w:rsidRPr="00863762" w:rsidRDefault="00B90D71" w:rsidP="00863762">
            <w:pPr>
              <w:pStyle w:val="Leyendadefiguraotabla"/>
              <w:spacing w:before="0" w:after="0"/>
              <w:ind w:firstLine="0"/>
              <w:rPr>
                <w:i w:val="0"/>
                <w:iCs w:val="0"/>
                <w:sz w:val="24"/>
                <w:szCs w:val="24"/>
                <w:lang w:val="pt-BR"/>
              </w:rPr>
            </w:pPr>
            <w:r w:rsidRPr="00863762">
              <w:rPr>
                <w:i w:val="0"/>
                <w:iCs w:val="0"/>
                <w:sz w:val="24"/>
                <w:szCs w:val="24"/>
                <w:lang w:val="pt-BR"/>
              </w:rPr>
              <w:t>Arame AWS E316LSi</w:t>
            </w:r>
          </w:p>
        </w:tc>
        <w:tc>
          <w:tcPr>
            <w:tcW w:w="2500" w:type="pct"/>
          </w:tcPr>
          <w:p w:rsidR="00B90D71" w:rsidRPr="00863762" w:rsidRDefault="00B90D71" w:rsidP="00863762">
            <w:pPr>
              <w:pStyle w:val="Leyendadefiguraotabla"/>
              <w:spacing w:before="0" w:after="0"/>
              <w:ind w:firstLine="0"/>
              <w:rPr>
                <w:i w:val="0"/>
                <w:iCs w:val="0"/>
                <w:sz w:val="24"/>
                <w:szCs w:val="24"/>
                <w:lang w:val="pt-BR"/>
              </w:rPr>
            </w:pPr>
            <w:r w:rsidRPr="00863762">
              <w:rPr>
                <w:i w:val="0"/>
                <w:iCs w:val="0"/>
                <w:sz w:val="24"/>
                <w:szCs w:val="24"/>
                <w:lang w:val="pt-BR"/>
              </w:rPr>
              <w:t>Arame AWS ERNiCrMo-3</w:t>
            </w:r>
          </w:p>
        </w:tc>
      </w:tr>
    </w:tbl>
    <w:p w:rsidR="00B90D71" w:rsidRPr="009E744C" w:rsidRDefault="00B90D71" w:rsidP="009E744C">
      <w:pPr>
        <w:pStyle w:val="Leyendadefiguraotabla"/>
        <w:spacing w:before="0" w:after="0"/>
        <w:ind w:firstLine="0"/>
        <w:rPr>
          <w:i w:val="0"/>
          <w:iCs w:val="0"/>
          <w:sz w:val="24"/>
          <w:szCs w:val="24"/>
          <w:lang w:val="pt-BR"/>
        </w:rPr>
      </w:pPr>
      <w:r w:rsidRPr="009E744C">
        <w:rPr>
          <w:i w:val="0"/>
          <w:iCs w:val="0"/>
          <w:sz w:val="24"/>
          <w:szCs w:val="24"/>
          <w:lang w:val="pt-BR"/>
        </w:rPr>
        <w:t>Figura 1 – Valores da relação R/L em função do gás de proteção</w:t>
      </w:r>
    </w:p>
    <w:p w:rsidR="00B90D71" w:rsidRPr="009E744C" w:rsidRDefault="00B90D71" w:rsidP="009E744C">
      <w:pPr>
        <w:pStyle w:val="Leyendadefiguraotabla"/>
        <w:spacing w:before="0" w:after="0"/>
        <w:ind w:firstLine="0"/>
        <w:rPr>
          <w:i w:val="0"/>
          <w:iCs w:val="0"/>
          <w:sz w:val="24"/>
          <w:szCs w:val="24"/>
          <w:lang w:val="pt-BR"/>
        </w:rPr>
      </w:pPr>
    </w:p>
    <w:p w:rsidR="00B90D71" w:rsidRPr="00C67F07" w:rsidRDefault="00B90D71" w:rsidP="0029083B">
      <w:pPr>
        <w:pStyle w:val="Ttulodaseoprimria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Pode-se observar pela Figura 1 que para o arame E316LSi a menor relação R/L ocorreu quando se utilizou como gás de proteção o CO</w:t>
      </w:r>
      <w:r>
        <w:rPr>
          <w:b w:val="0"/>
          <w:bCs w:val="0"/>
          <w:sz w:val="24"/>
          <w:szCs w:val="24"/>
          <w:vertAlign w:val="subscript"/>
        </w:rPr>
        <w:t>2</w:t>
      </w:r>
      <w:r>
        <w:rPr>
          <w:b w:val="0"/>
          <w:bCs w:val="0"/>
          <w:sz w:val="24"/>
          <w:szCs w:val="24"/>
        </w:rPr>
        <w:t xml:space="preserve"> puro. Mesma tendência observada na soldagem com o arame ER</w:t>
      </w:r>
      <w:r w:rsidRPr="009E744C">
        <w:rPr>
          <w:b w:val="0"/>
          <w:bCs w:val="0"/>
        </w:rPr>
        <w:t>NiCrMo-3</w:t>
      </w:r>
      <w:r>
        <w:rPr>
          <w:b w:val="0"/>
          <w:bCs w:val="0"/>
        </w:rPr>
        <w:t>, ou seja, existe uma tendência de aumento da molhabilidade com o aumento do teor de CO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no gás de proteção independente do arame utilizado. Além disso, pode-se perceber que, para um mesmo gás de proteção, o depósito com o arame E316LSi apresenta maior molhabilidade do que com o arame </w:t>
      </w:r>
      <w:r w:rsidRPr="00C67F07">
        <w:rPr>
          <w:b w:val="0"/>
          <w:bCs w:val="0"/>
        </w:rPr>
        <w:t>ERNiCrMo-3</w:t>
      </w:r>
      <w:r>
        <w:rPr>
          <w:b w:val="0"/>
          <w:bCs w:val="0"/>
        </w:rPr>
        <w:t xml:space="preserve">. Vale a pena salientar que foram realizadas tentativas de soldagem com o arame </w:t>
      </w:r>
      <w:r w:rsidRPr="00C67F07">
        <w:rPr>
          <w:b w:val="0"/>
          <w:bCs w:val="0"/>
        </w:rPr>
        <w:t>ERNiCrMo-3</w:t>
      </w:r>
      <w:r>
        <w:rPr>
          <w:b w:val="0"/>
          <w:bCs w:val="0"/>
        </w:rPr>
        <w:t xml:space="preserve"> utilizando os gáses de proteção 100% CO</w:t>
      </w:r>
      <w:r>
        <w:rPr>
          <w:b w:val="0"/>
          <w:bCs w:val="0"/>
          <w:vertAlign w:val="subscript"/>
        </w:rPr>
        <w:t>2</w:t>
      </w:r>
      <w:r>
        <w:rPr>
          <w:b w:val="0"/>
          <w:bCs w:val="0"/>
        </w:rPr>
        <w:t xml:space="preserve"> e 100% Ar, porém, por motivos operacionais não se obteve cordões satisfatórios.</w:t>
      </w:r>
    </w:p>
    <w:p w:rsidR="00B90D71" w:rsidRPr="009E744C" w:rsidRDefault="00B90D71" w:rsidP="0029083B">
      <w:pPr>
        <w:pStyle w:val="Ttulodaseoprimria"/>
        <w:rPr>
          <w:b w:val="0"/>
          <w:bCs w:val="0"/>
          <w:sz w:val="24"/>
          <w:szCs w:val="24"/>
        </w:rPr>
      </w:pPr>
    </w:p>
    <w:p w:rsidR="00B90D71" w:rsidRDefault="00B90D71" w:rsidP="0029083B">
      <w:pPr>
        <w:pStyle w:val="Ttulodaseoprimria"/>
        <w:rPr>
          <w:sz w:val="24"/>
          <w:szCs w:val="24"/>
        </w:rPr>
      </w:pPr>
      <w:r w:rsidRPr="0082219D">
        <w:rPr>
          <w:sz w:val="24"/>
          <w:szCs w:val="24"/>
        </w:rPr>
        <w:t>4 CONSIDERAÇÕES FINAIS</w:t>
      </w:r>
    </w:p>
    <w:p w:rsidR="00B90D71" w:rsidRPr="0082219D" w:rsidRDefault="00B90D71" w:rsidP="0029083B">
      <w:pPr>
        <w:pStyle w:val="Ttulodaseoprimria"/>
        <w:rPr>
          <w:sz w:val="24"/>
          <w:szCs w:val="24"/>
        </w:rPr>
      </w:pPr>
    </w:p>
    <w:p w:rsidR="00B90D71" w:rsidRDefault="00B90D71" w:rsidP="0029083B">
      <w:r>
        <w:t>Para as condições e parâmetros utilizados no estudo, pode-se concluir que:</w:t>
      </w:r>
    </w:p>
    <w:p w:rsidR="00B90D71" w:rsidRDefault="00B90D71" w:rsidP="00C67F07">
      <w:pPr>
        <w:ind w:firstLine="0"/>
      </w:pPr>
    </w:p>
    <w:p w:rsidR="00B90D71" w:rsidRDefault="00B90D71" w:rsidP="00C67F07">
      <w:pPr>
        <w:numPr>
          <w:ilvl w:val="0"/>
          <w:numId w:val="5"/>
        </w:numPr>
      </w:pPr>
      <w:r>
        <w:t>Gases de proteção com maiores teores de CO</w:t>
      </w:r>
      <w:r>
        <w:rPr>
          <w:vertAlign w:val="subscript"/>
        </w:rPr>
        <w:t>2</w:t>
      </w:r>
      <w:r>
        <w:t xml:space="preserve"> tendem a produzir cordões com maior molhabilidade.</w:t>
      </w:r>
    </w:p>
    <w:p w:rsidR="00B90D71" w:rsidRDefault="00B90D71" w:rsidP="00C67F07">
      <w:pPr>
        <w:numPr>
          <w:ilvl w:val="0"/>
          <w:numId w:val="5"/>
        </w:numPr>
      </w:pPr>
      <w:r>
        <w:t>O arame de aço inoxidável apresentou maior molhabilidade do que o arame de liga de níquel.</w:t>
      </w:r>
    </w:p>
    <w:p w:rsidR="00B90D71" w:rsidRDefault="00B90D71" w:rsidP="0029083B"/>
    <w:p w:rsidR="00B90D71" w:rsidRPr="00D8090F" w:rsidRDefault="00B90D71" w:rsidP="00711AA3">
      <w:pPr>
        <w:pStyle w:val="Ttulodaseoprimria"/>
        <w:jc w:val="left"/>
      </w:pPr>
      <w:r w:rsidRPr="00D8090F">
        <w:t>REFERÊNCIAS</w:t>
      </w:r>
    </w:p>
    <w:p w:rsidR="00B90D71" w:rsidRDefault="00B90D71" w:rsidP="00BB75AE">
      <w:pPr>
        <w:ind w:firstLine="0"/>
      </w:pPr>
    </w:p>
    <w:p w:rsidR="00B90D71" w:rsidRDefault="00B90D71" w:rsidP="00BB75AE">
      <w:pPr>
        <w:ind w:firstLine="0"/>
      </w:pPr>
      <w:r>
        <w:t>Baixo, C. E. I.; Dutra, J. C. Efeito do Gás de Proteção e do Modo de Transferência na Aplicação da Liga 625 em Aço Carbono. Soldagem e Inspeção, São Paulo, Vol. 14, Nº 4, p. 313-319, Out/Dez. 2009.</w:t>
      </w:r>
    </w:p>
    <w:sectPr w:rsidR="00B90D71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71" w:rsidRDefault="00B90D71" w:rsidP="00B11590">
      <w:r>
        <w:separator/>
      </w:r>
    </w:p>
  </w:endnote>
  <w:endnote w:type="continuationSeparator" w:id="0">
    <w:p w:rsidR="00B90D71" w:rsidRDefault="00B90D7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71" w:rsidRDefault="00B90D71" w:rsidP="00B11590">
      <w:r>
        <w:separator/>
      </w:r>
    </w:p>
  </w:footnote>
  <w:footnote w:type="continuationSeparator" w:id="0">
    <w:p w:rsidR="00B90D71" w:rsidRDefault="00B90D7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71" w:rsidRDefault="00B90D71" w:rsidP="00F34C67">
    <w:pPr>
      <w:pStyle w:val="Header"/>
      <w:jc w:val="center"/>
      <w:rPr>
        <w:rStyle w:val="Strong"/>
        <w:rFonts w:cs="Arial"/>
        <w:b w:val="0"/>
        <w:bCs w:val="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B90D71" w:rsidRDefault="00B90D71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  <w:r>
      <w:rPr>
        <w:rStyle w:val="Strong"/>
        <w:rFonts w:cs="Arial"/>
        <w:b w:val="0"/>
        <w:bCs w:val="0"/>
        <w:sz w:val="20"/>
        <w:szCs w:val="20"/>
      </w:rPr>
      <w:t>.</w:t>
    </w:r>
  </w:p>
  <w:p w:rsidR="00B90D71" w:rsidRDefault="00B90D71" w:rsidP="00F34C67">
    <w:pPr>
      <w:pStyle w:val="Header"/>
      <w:ind w:firstLine="0"/>
      <w:rPr>
        <w:rStyle w:val="Strong"/>
        <w:rFonts w:cs="Arial"/>
        <w:b w:val="0"/>
        <w:bCs w:val="0"/>
        <w:sz w:val="20"/>
        <w:szCs w:val="20"/>
      </w:rPr>
    </w:pPr>
  </w:p>
  <w:p w:rsidR="00B90D71" w:rsidRDefault="00B90D71" w:rsidP="00F34C67">
    <w:pPr>
      <w:pStyle w:val="Header"/>
      <w:ind w:firstLine="0"/>
      <w:jc w:val="center"/>
      <w:rPr>
        <w:rStyle w:val="Strong"/>
        <w:rFonts w:cs="Arial"/>
        <w:b w:val="0"/>
        <w:bCs w:val="0"/>
        <w:sz w:val="20"/>
        <w:szCs w:val="20"/>
      </w:rPr>
    </w:pPr>
  </w:p>
  <w:p w:rsidR="00B90D71" w:rsidRPr="00F34C67" w:rsidRDefault="00B90D71" w:rsidP="00F34C67">
    <w:pPr>
      <w:pStyle w:val="Header"/>
      <w:ind w:firstLine="0"/>
      <w:jc w:val="center"/>
      <w:rPr>
        <w:b/>
        <w:bCs/>
        <w:sz w:val="18"/>
        <w:szCs w:val="18"/>
      </w:rPr>
    </w:pPr>
    <w:r w:rsidRPr="00F34C67">
      <w:rPr>
        <w:rStyle w:val="Strong"/>
        <w:rFonts w:cs="Arial"/>
        <w:b w:val="0"/>
        <w:bCs w:val="0"/>
        <w:sz w:val="18"/>
        <w:szCs w:val="18"/>
      </w:rPr>
      <w:t>Rio Grande/RS, Brasil, 23 a 25 de outubro de 2013.</w:t>
    </w:r>
  </w:p>
  <w:p w:rsidR="00B90D71" w:rsidRDefault="00B90D71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A3C"/>
    <w:multiLevelType w:val="hybridMultilevel"/>
    <w:tmpl w:val="D6AC2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FD7B4B"/>
    <w:multiLevelType w:val="hybridMultilevel"/>
    <w:tmpl w:val="99BC2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89403D"/>
    <w:multiLevelType w:val="hybridMultilevel"/>
    <w:tmpl w:val="36D28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817AD3"/>
    <w:multiLevelType w:val="hybridMultilevel"/>
    <w:tmpl w:val="7690D4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5941F1"/>
    <w:multiLevelType w:val="hybridMultilevel"/>
    <w:tmpl w:val="918413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1BBD"/>
    <w:rsid w:val="000033F3"/>
    <w:rsid w:val="00034405"/>
    <w:rsid w:val="00087B64"/>
    <w:rsid w:val="0009095E"/>
    <w:rsid w:val="000F630E"/>
    <w:rsid w:val="00125006"/>
    <w:rsid w:val="00185FE1"/>
    <w:rsid w:val="001C7B8C"/>
    <w:rsid w:val="001E496B"/>
    <w:rsid w:val="00203D0A"/>
    <w:rsid w:val="00207BF7"/>
    <w:rsid w:val="0024774D"/>
    <w:rsid w:val="00273E8B"/>
    <w:rsid w:val="0029083B"/>
    <w:rsid w:val="002A1666"/>
    <w:rsid w:val="002A7A57"/>
    <w:rsid w:val="002E1324"/>
    <w:rsid w:val="00316EDC"/>
    <w:rsid w:val="003220E0"/>
    <w:rsid w:val="00382547"/>
    <w:rsid w:val="003C0392"/>
    <w:rsid w:val="003E1C27"/>
    <w:rsid w:val="00414C4F"/>
    <w:rsid w:val="00493589"/>
    <w:rsid w:val="004D3431"/>
    <w:rsid w:val="004F7A69"/>
    <w:rsid w:val="00520FB9"/>
    <w:rsid w:val="00644AC4"/>
    <w:rsid w:val="00670796"/>
    <w:rsid w:val="00686BBE"/>
    <w:rsid w:val="006A4184"/>
    <w:rsid w:val="006F1A5E"/>
    <w:rsid w:val="0070021A"/>
    <w:rsid w:val="00711AA3"/>
    <w:rsid w:val="00731B6A"/>
    <w:rsid w:val="007345DE"/>
    <w:rsid w:val="007A42FB"/>
    <w:rsid w:val="007C2D07"/>
    <w:rsid w:val="0082219D"/>
    <w:rsid w:val="00834702"/>
    <w:rsid w:val="008359DF"/>
    <w:rsid w:val="00863762"/>
    <w:rsid w:val="0087284D"/>
    <w:rsid w:val="008B01A4"/>
    <w:rsid w:val="008C1C89"/>
    <w:rsid w:val="008E4B17"/>
    <w:rsid w:val="009348A9"/>
    <w:rsid w:val="00941544"/>
    <w:rsid w:val="00946C7F"/>
    <w:rsid w:val="0098076F"/>
    <w:rsid w:val="009B0959"/>
    <w:rsid w:val="009D0723"/>
    <w:rsid w:val="009E744C"/>
    <w:rsid w:val="009F1118"/>
    <w:rsid w:val="00A162F0"/>
    <w:rsid w:val="00A46DA3"/>
    <w:rsid w:val="00A56740"/>
    <w:rsid w:val="00A756D1"/>
    <w:rsid w:val="00A771C1"/>
    <w:rsid w:val="00A802B0"/>
    <w:rsid w:val="00A92B60"/>
    <w:rsid w:val="00AE53A0"/>
    <w:rsid w:val="00AF1A11"/>
    <w:rsid w:val="00AF54D9"/>
    <w:rsid w:val="00B11590"/>
    <w:rsid w:val="00B54B9A"/>
    <w:rsid w:val="00B90D71"/>
    <w:rsid w:val="00BB2F0C"/>
    <w:rsid w:val="00BB75AE"/>
    <w:rsid w:val="00BC423E"/>
    <w:rsid w:val="00BF6B6C"/>
    <w:rsid w:val="00C341B4"/>
    <w:rsid w:val="00C47B84"/>
    <w:rsid w:val="00C67F07"/>
    <w:rsid w:val="00C950B7"/>
    <w:rsid w:val="00CC3E16"/>
    <w:rsid w:val="00CF1B19"/>
    <w:rsid w:val="00D25A87"/>
    <w:rsid w:val="00D43862"/>
    <w:rsid w:val="00D740C6"/>
    <w:rsid w:val="00D8090F"/>
    <w:rsid w:val="00DB69F7"/>
    <w:rsid w:val="00DC7804"/>
    <w:rsid w:val="00DD1B99"/>
    <w:rsid w:val="00DE6963"/>
    <w:rsid w:val="00EA2C0C"/>
    <w:rsid w:val="00EA51E0"/>
    <w:rsid w:val="00ED3F02"/>
    <w:rsid w:val="00EF7114"/>
    <w:rsid w:val="00F34C67"/>
    <w:rsid w:val="00F36B54"/>
    <w:rsid w:val="00F65AE9"/>
    <w:rsid w:val="00FA5B50"/>
    <w:rsid w:val="00FB3E05"/>
    <w:rsid w:val="00F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 w:cs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0723"/>
    <w:rPr>
      <w:rFonts w:ascii="Arial" w:hAnsi="Arial" w:cs="Arial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locked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590"/>
    <w:rPr>
      <w:rFonts w:ascii="Arial" w:hAnsi="Arial" w:cs="Arial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590"/>
    <w:rPr>
      <w:rFonts w:ascii="Arial" w:hAnsi="Arial" w:cs="Arial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33F3"/>
    <w:rPr>
      <w:rFonts w:ascii="Arial" w:hAnsi="Arial" w:cs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3F3"/>
    <w:rPr>
      <w:rFonts w:ascii="Arial" w:hAnsi="Arial" w:cs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44A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506</Words>
  <Characters>2738</Characters>
  <Application>Microsoft Office Outlook</Application>
  <DocSecurity>0</DocSecurity>
  <Lines>0</Lines>
  <Paragraphs>0</Paragraphs>
  <ScaleCrop>false</ScaleCrop>
  <Company>Personal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Sara Leoa</cp:lastModifiedBy>
  <cp:revision>4</cp:revision>
  <cp:lastPrinted>2013-05-31T18:34:00Z</cp:lastPrinted>
  <dcterms:created xsi:type="dcterms:W3CDTF">2013-06-24T13:39:00Z</dcterms:created>
  <dcterms:modified xsi:type="dcterms:W3CDTF">2013-06-24T16:36:00Z</dcterms:modified>
</cp:coreProperties>
</file>