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9" w:rsidRPr="00AD26E1" w:rsidRDefault="00731B49" w:rsidP="0029083B">
      <w:pPr>
        <w:ind w:firstLine="0"/>
        <w:jc w:val="center"/>
        <w:rPr>
          <w:b/>
          <w:bCs/>
        </w:rPr>
      </w:pPr>
    </w:p>
    <w:p w:rsidR="00731B49" w:rsidRPr="00AD26E1" w:rsidRDefault="00731B49" w:rsidP="00EC6021">
      <w:pPr>
        <w:pStyle w:val="EstiloArialesquerda3"/>
        <w:ind w:left="0" w:right="71"/>
        <w:jc w:val="center"/>
        <w:rPr>
          <w:b/>
          <w:bCs/>
        </w:rPr>
      </w:pPr>
      <w:r w:rsidRPr="00AD26E1">
        <w:rPr>
          <w:b/>
          <w:bCs/>
        </w:rPr>
        <w:t>METODOLOGIAS PARA AVALIAR A VIABILIDADE DA MICROALGA</w:t>
      </w:r>
      <w:r w:rsidRPr="00AD26E1">
        <w:rPr>
          <w:b/>
          <w:bCs/>
          <w:i/>
          <w:iCs/>
        </w:rPr>
        <w:t xml:space="preserve"> Pediastrum boryanum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</w:p>
    <w:p w:rsidR="00731B49" w:rsidRPr="00AD26E1" w:rsidRDefault="00731B49" w:rsidP="00EC6021">
      <w:pPr>
        <w:ind w:firstLine="0"/>
        <w:jc w:val="right"/>
        <w:rPr>
          <w:b/>
          <w:bCs/>
        </w:rPr>
      </w:pP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DA SILVA, Daniele</w:t>
      </w:r>
      <w:r>
        <w:rPr>
          <w:b/>
          <w:bCs/>
        </w:rPr>
        <w:t xml:space="preserve"> Gomes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DA LUZ, Daniéli</w:t>
      </w:r>
      <w:r>
        <w:rPr>
          <w:b/>
          <w:bCs/>
        </w:rPr>
        <w:t xml:space="preserve"> Saul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SOUZA, Marta</w:t>
      </w:r>
      <w:r>
        <w:rPr>
          <w:b/>
          <w:bCs/>
        </w:rPr>
        <w:t xml:space="preserve"> Marques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 xml:space="preserve">MARTINS, Camila  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danielegdasilva@hotmail.com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Evento: Congresso de Iniciação Científica</w:t>
      </w:r>
    </w:p>
    <w:p w:rsidR="00731B49" w:rsidRPr="00AD26E1" w:rsidRDefault="00731B49" w:rsidP="00EC6021">
      <w:pPr>
        <w:ind w:firstLine="0"/>
        <w:jc w:val="right"/>
        <w:rPr>
          <w:b/>
          <w:bCs/>
        </w:rPr>
      </w:pPr>
      <w:r w:rsidRPr="00AD26E1">
        <w:rPr>
          <w:b/>
          <w:bCs/>
        </w:rPr>
        <w:t>Área do conhecimento: Toxicologia</w:t>
      </w:r>
    </w:p>
    <w:p w:rsidR="00731B49" w:rsidRPr="00AD26E1" w:rsidRDefault="00731B49" w:rsidP="00EC6021">
      <w:pPr>
        <w:pStyle w:val="EstiloArialesquerda3"/>
        <w:ind w:left="0"/>
        <w:jc w:val="both"/>
        <w:outlineLvl w:val="0"/>
      </w:pPr>
      <w:r w:rsidRPr="00AD26E1">
        <w:rPr>
          <w:b/>
          <w:bCs/>
        </w:rPr>
        <w:t xml:space="preserve">Palavras-chave </w:t>
      </w:r>
      <w:r w:rsidRPr="00AD26E1">
        <w:t>Viabilidade celular, microalga, técnicas</w:t>
      </w:r>
    </w:p>
    <w:p w:rsidR="00731B49" w:rsidRPr="00AD26E1" w:rsidRDefault="00731B49" w:rsidP="00EC6021">
      <w:pPr>
        <w:ind w:firstLine="0"/>
        <w:rPr>
          <w:b/>
          <w:bCs/>
        </w:rPr>
      </w:pPr>
    </w:p>
    <w:p w:rsidR="00731B49" w:rsidRPr="00AD26E1" w:rsidRDefault="00731B49" w:rsidP="00EC6021">
      <w:pPr>
        <w:pStyle w:val="Ttulodaseoprimria"/>
        <w:rPr>
          <w:sz w:val="24"/>
          <w:szCs w:val="24"/>
        </w:rPr>
      </w:pPr>
    </w:p>
    <w:p w:rsidR="00731B49" w:rsidRPr="00AD26E1" w:rsidRDefault="00731B49" w:rsidP="00EC6021">
      <w:pPr>
        <w:pStyle w:val="Ttulodaseoprimria"/>
        <w:rPr>
          <w:sz w:val="24"/>
          <w:szCs w:val="24"/>
        </w:rPr>
      </w:pPr>
      <w:r w:rsidRPr="00AD26E1">
        <w:rPr>
          <w:sz w:val="24"/>
          <w:szCs w:val="24"/>
        </w:rPr>
        <w:t>1 INTRODUÇÃO</w:t>
      </w:r>
    </w:p>
    <w:p w:rsidR="00731B49" w:rsidRPr="00AD26E1" w:rsidRDefault="00731B49" w:rsidP="00EC6021">
      <w:pPr>
        <w:ind w:left="709" w:firstLine="0"/>
      </w:pPr>
    </w:p>
    <w:p w:rsidR="00731B49" w:rsidRPr="00AD26E1" w:rsidRDefault="00731B49" w:rsidP="002952B2">
      <w:pPr>
        <w:ind w:firstLine="708"/>
      </w:pPr>
      <w:bookmarkStart w:id="0" w:name="_GoBack"/>
      <w:bookmarkEnd w:id="0"/>
      <w:r w:rsidRPr="00AD26E1">
        <w:t xml:space="preserve">A análise de viabilidade celular envolve a utilização de ferramentas que qualificam e/ou quantificam células “vivas”, ou seja, células metabolicamente ativas em uma cultura (ROGERO et al., 2000). </w:t>
      </w:r>
      <w:r>
        <w:t>A viabilidade celular é</w:t>
      </w:r>
      <w:r w:rsidRPr="00AD26E1">
        <w:t xml:space="preserve">, portanto, uma maneira de medir o efeito tóxico de um poluente e, por isso a importância de analisá-la. Existem diferentes técnicas que avaliam a viabilidade celular; neste estudo testamos duas delas: MTT e Vermelho Neutro. As técnicas foram aplicadas nas microalgas dulcícolas </w:t>
      </w:r>
      <w:r w:rsidRPr="00AD26E1">
        <w:rPr>
          <w:i/>
          <w:iCs/>
        </w:rPr>
        <w:t>Pediastrum boryanum</w:t>
      </w:r>
      <w:r w:rsidRPr="00AD26E1">
        <w:t xml:space="preserve"> expostas ao Roundup Transorb®, um herbicida a base de glifosato amplamente utilizado na rizicultura predominante na região sul do Brasil (EMBRAPA, 2005).  De fato, a técnica de MTT mede a viabilidade celular com base no dano induzido nas mitocôndrias. O princípio deste método é a avaliação da atividade de desidrogenases mitocondriais, quantificadas pela redução do MTT (um sal de coloração amarela solúvel em água) à formazan (cristais de coloração púrpura, insolúveis em água) (LI &amp; SONG, 2007). Por outro lado, a técnica de Vermelho Neutro, mede a viabilidade celular com base na atividade lisossomal. Células viáveis e com seu lisossomo funcionando, retém o Vermelho Neutro dentro destas estruturas (TRIGLIA et al.,1991). No caso de algas, aparentemente o Vermelho Neutro é retido no citoplasma, mas este fato não muda o resultado final que a técnica apresenta (MARIAZETCHE &amp; MEYSMAN, 2012). Tendo em vista o exposto, o objetivo do estudo foi testar a possibilidade de se utilizar as técnicas MTT e Vermelho Neutro para medir viabilidade celular em algas e fazer um estudo comparativo no sentido se indicar uma destas técnicas como a mais apropriada.</w:t>
      </w:r>
    </w:p>
    <w:p w:rsidR="00731B49" w:rsidRPr="00AD26E1" w:rsidRDefault="00731B49" w:rsidP="00EC6021"/>
    <w:p w:rsidR="00731B49" w:rsidRPr="00AD26E1" w:rsidRDefault="00731B49" w:rsidP="00EC6021">
      <w:pPr>
        <w:pStyle w:val="Ttulodaseoprimria"/>
        <w:rPr>
          <w:sz w:val="24"/>
          <w:szCs w:val="24"/>
        </w:rPr>
      </w:pPr>
      <w:r w:rsidRPr="00AD26E1">
        <w:rPr>
          <w:sz w:val="24"/>
          <w:szCs w:val="24"/>
        </w:rPr>
        <w:t>2 MATERIAIS E MÉTODOS (ou PROCEDIMENTO METODOLÓGICO)</w:t>
      </w:r>
    </w:p>
    <w:p w:rsidR="00731B49" w:rsidRPr="00AD26E1" w:rsidRDefault="00731B49" w:rsidP="00EC6021">
      <w:pPr>
        <w:ind w:firstLine="0"/>
      </w:pPr>
    </w:p>
    <w:p w:rsidR="00731B49" w:rsidRPr="00AD26E1" w:rsidRDefault="00731B49">
      <w:pPr>
        <w:ind w:firstLine="0"/>
      </w:pPr>
      <w:r w:rsidRPr="00AD26E1">
        <w:tab/>
        <w:t xml:space="preserve">A cepa da microalga testada </w:t>
      </w:r>
      <w:r w:rsidRPr="00AD26E1">
        <w:rPr>
          <w:i/>
          <w:iCs/>
        </w:rPr>
        <w:t>Pediastrum boryanum</w:t>
      </w:r>
      <w:r w:rsidRPr="00AD26E1">
        <w:t xml:space="preserve"> foi obtida a partir de amostras planctônicas na região do extremo sul do Brasil. As microalgas (</w:t>
      </w:r>
      <w:r w:rsidR="0042360F" w:rsidRPr="0042360F">
        <w:rPr>
          <w:color w:val="000000"/>
        </w:rPr>
        <w:t>nº aproximado de células</w:t>
      </w:r>
      <w:r w:rsidRPr="00AD26E1">
        <w:t xml:space="preserve">) foram exposta por 24 h à diferentes concentrações de Roundup Transorb®, calculadas a partir do conteúdo de glifosato (1, 5, 10 e 50 g/L de glifosato), princípio ativo do herbicida, em condições semelhantes à do </w:t>
      </w:r>
      <w:r w:rsidRPr="00AD26E1">
        <w:lastRenderedPageBreak/>
        <w:t>cultivo (meio de cultura WC, 23</w:t>
      </w:r>
      <w:r w:rsidRPr="00AD26E1">
        <w:rPr>
          <w:vertAlign w:val="superscript"/>
        </w:rPr>
        <w:t>o</w:t>
      </w:r>
      <w:r w:rsidRPr="00AD26E1">
        <w:t xml:space="preserve"> C e fotoperíodo de 14L:10E). As concentrações de exposição foram escolhidas com base no teste de toxicidade feito para a alga verde </w:t>
      </w:r>
      <w:r w:rsidRPr="00AD26E1">
        <w:rPr>
          <w:i/>
          <w:iCs/>
        </w:rPr>
        <w:t>Selenastrum capricornutum</w:t>
      </w:r>
      <w:r w:rsidRPr="00AD26E1">
        <w:t xml:space="preserve"> (TSUI &amp; CHU, 2003) com glifosato. Um grupo controle (sem adição de herbicida no meio) foi mantido por todo o experimento. Após o período de exposição, as algas foram submetidas aos testes de MTT e Verrmelho Neutro (VN). Os resultados foram analisados estaticamente através de ANOVA one-way e teste </w:t>
      </w:r>
      <w:r w:rsidRPr="00AD26E1">
        <w:rPr>
          <w:i/>
          <w:iCs/>
        </w:rPr>
        <w:t>a posteriori</w:t>
      </w:r>
      <w:r w:rsidRPr="00AD26E1">
        <w:t xml:space="preserve"> de Tukey (α = 0,05).</w:t>
      </w:r>
    </w:p>
    <w:p w:rsidR="00731B49" w:rsidRPr="00AD26E1" w:rsidRDefault="00731B49" w:rsidP="00EC6021">
      <w:pPr>
        <w:ind w:left="709" w:firstLine="0"/>
      </w:pPr>
    </w:p>
    <w:p w:rsidR="00731B49" w:rsidRPr="00AD26E1" w:rsidRDefault="00731B49" w:rsidP="00EC6021">
      <w:pPr>
        <w:pStyle w:val="Ttulodaseoprimria"/>
        <w:rPr>
          <w:sz w:val="24"/>
          <w:szCs w:val="24"/>
        </w:rPr>
      </w:pPr>
      <w:r w:rsidRPr="00AD26E1">
        <w:rPr>
          <w:sz w:val="24"/>
          <w:szCs w:val="24"/>
        </w:rPr>
        <w:t xml:space="preserve">3 RESULTADOS e DISCUSSÃO </w:t>
      </w:r>
    </w:p>
    <w:p w:rsidR="00731B49" w:rsidRPr="00AD26E1" w:rsidRDefault="00731B49" w:rsidP="00EC6021">
      <w:pPr>
        <w:ind w:left="709" w:firstLine="0"/>
      </w:pPr>
    </w:p>
    <w:p w:rsidR="00731B49" w:rsidRPr="00AD26E1" w:rsidRDefault="00731B49" w:rsidP="00EC6021">
      <w:pPr>
        <w:ind w:firstLine="0"/>
      </w:pPr>
      <w:r w:rsidRPr="00AD26E1">
        <w:t xml:space="preserve">            No teste de VN, </w:t>
      </w:r>
      <w:r w:rsidRPr="00AD26E1">
        <w:rPr>
          <w:i/>
          <w:iCs/>
        </w:rPr>
        <w:t>P. boryanum</w:t>
      </w:r>
      <w:r w:rsidRPr="00AD26E1">
        <w:t xml:space="preserve"> apresentou uma queda significante de aproximadamente 25 % na sua viabilidade quando exposta à concentração de 10 g/L de glifosato em relação ao seu respectivo controle. Já para o método do MTT, detectou-se uma queda significativa na viabilidade celular desta mesma alga em todos os tratamentos em comparação ao controle. Esta redução variou entre 80 a 85 % e não foi significativamente diferente entre os tratamentos.</w:t>
      </w:r>
      <w:r w:rsidRPr="00AD26E1">
        <w:tab/>
      </w:r>
    </w:p>
    <w:p w:rsidR="00731B49" w:rsidRPr="00AD26E1" w:rsidRDefault="00731B49" w:rsidP="00EC6021">
      <w:pPr>
        <w:ind w:left="709" w:firstLine="0"/>
      </w:pPr>
    </w:p>
    <w:p w:rsidR="00731B49" w:rsidRPr="00AD26E1" w:rsidRDefault="00731B49" w:rsidP="00EC6021">
      <w:pPr>
        <w:pStyle w:val="Ttulodaseoprimria"/>
        <w:rPr>
          <w:sz w:val="24"/>
          <w:szCs w:val="24"/>
        </w:rPr>
      </w:pPr>
      <w:r w:rsidRPr="00AD26E1">
        <w:rPr>
          <w:sz w:val="24"/>
          <w:szCs w:val="24"/>
        </w:rPr>
        <w:t>4 CONSIDERAÇÕES FINAIS</w:t>
      </w:r>
    </w:p>
    <w:p w:rsidR="00731B49" w:rsidRPr="00AD26E1" w:rsidRDefault="00731B49" w:rsidP="00EC6021"/>
    <w:p w:rsidR="00731B49" w:rsidRPr="00AD26E1" w:rsidRDefault="00731B49" w:rsidP="00EC6021">
      <w:r w:rsidRPr="00AD26E1">
        <w:t xml:space="preserve">Como esperado, foi observado um efeito significativo do herbicida Roundup Transorb® sobre a viabilidade algal, confirmando sua ação altamente tóxica a este tipo de organismo. No que se refere às técnicas, a de MTT mostrou-se mais sensível do que a técnica de VN tendo em vista que a queda na viabilidade celular foi mais pronunciada. Sendo assim, a técnica de MTT seria mais indicada para a análise de viabilidade celular em </w:t>
      </w:r>
      <w:r w:rsidRPr="00AD26E1">
        <w:rPr>
          <w:i/>
          <w:iCs/>
        </w:rPr>
        <w:t>P. boryanum</w:t>
      </w:r>
      <w:r w:rsidRPr="00AD26E1">
        <w:t xml:space="preserve"> . </w:t>
      </w:r>
    </w:p>
    <w:p w:rsidR="00731B49" w:rsidRPr="00AD26E1" w:rsidRDefault="00731B49" w:rsidP="00E02753">
      <w:pPr>
        <w:ind w:firstLine="0"/>
        <w:rPr>
          <w:lang w:val="es-ES_tradnl"/>
        </w:rPr>
      </w:pPr>
    </w:p>
    <w:p w:rsidR="00731B49" w:rsidRPr="00AD26E1" w:rsidRDefault="00731B49" w:rsidP="00EC6021">
      <w:pPr>
        <w:pStyle w:val="Ttulodaseoprimria"/>
        <w:jc w:val="left"/>
        <w:rPr>
          <w:sz w:val="24"/>
          <w:szCs w:val="24"/>
        </w:rPr>
      </w:pPr>
      <w:r w:rsidRPr="00AD26E1">
        <w:rPr>
          <w:sz w:val="24"/>
          <w:szCs w:val="24"/>
        </w:rPr>
        <w:t>REFERÊNCIAS</w:t>
      </w:r>
    </w:p>
    <w:p w:rsidR="00731B49" w:rsidRPr="00AD26E1" w:rsidRDefault="00731B49" w:rsidP="00EC6021">
      <w:pPr>
        <w:pStyle w:val="Ttulodaseoprimria"/>
        <w:jc w:val="left"/>
        <w:rPr>
          <w:sz w:val="24"/>
          <w:szCs w:val="24"/>
        </w:rPr>
      </w:pPr>
    </w:p>
    <w:p w:rsidR="00731B49" w:rsidRPr="00AD26E1" w:rsidRDefault="00731B49" w:rsidP="00EC6021">
      <w:pPr>
        <w:ind w:firstLine="0"/>
      </w:pPr>
      <w:r w:rsidRPr="00AD26E1">
        <w:t xml:space="preserve">Empresa Brasileira de Pesquisa Agropecuária- EMBRAPA. Sistemas de Produção, 3: Cultivo do Arroz irrigado no Brasil, 2005. Disponível em: </w:t>
      </w:r>
      <w:hyperlink r:id="rId6" w:history="1">
        <w:r w:rsidRPr="00AD26E1">
          <w:rPr>
            <w:rStyle w:val="Hyperlink"/>
            <w:rFonts w:cs="Arial"/>
            <w:color w:val="auto"/>
            <w:u w:val="none"/>
          </w:rPr>
          <w:t>http://sistemasdeproducao.cnptia.embrapa.br/FontesHTML/Arroz/ArrozIrrigadoBrasil/index.htm</w:t>
        </w:r>
      </w:hyperlink>
      <w:r w:rsidRPr="00AD26E1">
        <w:rPr>
          <w:rStyle w:val="Hyperlink"/>
          <w:rFonts w:cs="Arial"/>
          <w:color w:val="auto"/>
          <w:u w:val="none"/>
        </w:rPr>
        <w:t>.</w:t>
      </w:r>
      <w:r w:rsidRPr="00AD26E1">
        <w:t xml:space="preserve"> Acesso em 12/02/2013.</w:t>
      </w:r>
    </w:p>
    <w:p w:rsidR="00731B49" w:rsidRPr="00AD26E1" w:rsidRDefault="00731B49" w:rsidP="00BB7E92">
      <w:pPr>
        <w:autoSpaceDE w:val="0"/>
        <w:autoSpaceDN w:val="0"/>
        <w:adjustRightInd w:val="0"/>
        <w:ind w:firstLine="0"/>
        <w:rPr>
          <w:lang w:val="en-US"/>
        </w:rPr>
      </w:pPr>
      <w:r w:rsidRPr="00AD26E1">
        <w:rPr>
          <w:lang w:val="en-US"/>
        </w:rPr>
        <w:t>LI, J.; SONG, L. Applicability of the MTT assay for measuring viability of cyanobacteria and algae, specifically for Microcystis aeruginosa (Chroococcales, Cyanobacteria). Phycologia, v. 46, p. 593–599, 2007.</w:t>
      </w:r>
    </w:p>
    <w:p w:rsidR="00731B49" w:rsidRPr="00AD26E1" w:rsidRDefault="00731B49" w:rsidP="00EC6021">
      <w:pPr>
        <w:ind w:firstLine="0"/>
        <w:rPr>
          <w:lang w:val="en-US"/>
        </w:rPr>
      </w:pPr>
      <w:r w:rsidRPr="00AD26E1">
        <w:rPr>
          <w:lang w:val="en-US"/>
        </w:rPr>
        <w:t>MARIAZETSCHE, E.; MEYSMAN, F.J.R. Dead or alive? Viability assessment of micro and mesoplankton. Journal of Plankton Research, v. 34, p. 493–509, 2012.</w:t>
      </w:r>
    </w:p>
    <w:p w:rsidR="00731B49" w:rsidRPr="00AD26E1" w:rsidRDefault="00731B49" w:rsidP="00EC6021">
      <w:pPr>
        <w:ind w:firstLine="0"/>
        <w:rPr>
          <w:lang w:val="en-US"/>
        </w:rPr>
      </w:pPr>
      <w:r w:rsidRPr="00AD26E1">
        <w:rPr>
          <w:lang w:val="en-US"/>
        </w:rPr>
        <w:t>ROGERO, S.O.; HIGA, O.Z.; SAIKI, M.; CORREA, O.V.; COSTA, I. Toxicology in Vitro, v. 14, n. 6, p. 497-504, 2000.</w:t>
      </w:r>
    </w:p>
    <w:p w:rsidR="00731B49" w:rsidRPr="00AD26E1" w:rsidRDefault="00731B49" w:rsidP="00BB7E92">
      <w:pPr>
        <w:ind w:firstLine="0"/>
      </w:pPr>
      <w:r w:rsidRPr="00AD26E1">
        <w:rPr>
          <w:lang w:val="en-US"/>
        </w:rPr>
        <w:t>TRIGLIA, D.; BRAA, S.S.; YONAN, C.; NAUGHTON, G.K</w:t>
      </w:r>
      <w:r w:rsidRPr="00AD26E1">
        <w:t xml:space="preserve">. In vitro toxicity of various classes of test agents using the neutral red assay on a human three-dimensional physiologic skin model. </w:t>
      </w:r>
      <w:r w:rsidRPr="00AD26E1">
        <w:rPr>
          <w:lang w:val="en-US"/>
        </w:rPr>
        <w:t xml:space="preserve">In Vitro Cell &amp; Developmental </w:t>
      </w:r>
      <w:r w:rsidRPr="00AD26E1">
        <w:rPr>
          <w:color w:val="231F20"/>
          <w:kern w:val="0"/>
          <w:lang w:val="en-US"/>
        </w:rPr>
        <w:t>Biology, v. 27A, p. 239–244, 1991.</w:t>
      </w:r>
    </w:p>
    <w:p w:rsidR="00731B49" w:rsidRPr="00AD26E1" w:rsidRDefault="00731B49" w:rsidP="00EC6021">
      <w:pPr>
        <w:ind w:firstLine="0"/>
        <w:rPr>
          <w:lang w:val="en-US"/>
        </w:rPr>
      </w:pPr>
      <w:r w:rsidRPr="00AD26E1">
        <w:rPr>
          <w:lang w:val="en-US"/>
        </w:rPr>
        <w:t>TSUI, M.T.K.; CHU, L.M. Aquatic toxicity of glyphosate-based formulations:comparison between different organisms and the effects of environmental factors. Chemosphere, v. 52, p. 1189-1197, 2003.</w:t>
      </w:r>
    </w:p>
    <w:sectPr w:rsidR="00731B49" w:rsidRPr="00AD26E1" w:rsidSect="00417453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A3" w:rsidRDefault="00C265A3" w:rsidP="00B11590">
      <w:r>
        <w:separator/>
      </w:r>
    </w:p>
  </w:endnote>
  <w:endnote w:type="continuationSeparator" w:id="0">
    <w:p w:rsidR="00C265A3" w:rsidRDefault="00C265A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A3" w:rsidRDefault="00C265A3" w:rsidP="00B11590">
      <w:r>
        <w:separator/>
      </w:r>
    </w:p>
  </w:footnote>
  <w:footnote w:type="continuationSeparator" w:id="0">
    <w:p w:rsidR="00C265A3" w:rsidRDefault="00C265A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42360F" w:rsidP="00F34C67">
    <w:pPr>
      <w:pStyle w:val="Cabealho"/>
      <w:jc w:val="center"/>
      <w:rPr>
        <w:rStyle w:val="Forte"/>
        <w:rFonts w:cs="Arial"/>
        <w:b w:val="0"/>
        <w:bCs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31B49" w:rsidRDefault="00731B49" w:rsidP="00F34C67">
    <w:pPr>
      <w:pStyle w:val="Cabealho"/>
      <w:jc w:val="left"/>
      <w:rPr>
        <w:rStyle w:val="Forte"/>
        <w:rFonts w:cs="Arial"/>
        <w:b w:val="0"/>
        <w:bCs w:val="0"/>
        <w:sz w:val="20"/>
        <w:szCs w:val="20"/>
      </w:rPr>
    </w:pPr>
    <w:r>
      <w:rPr>
        <w:rStyle w:val="Forte"/>
        <w:rFonts w:cs="Arial"/>
        <w:b w:val="0"/>
        <w:bCs w:val="0"/>
        <w:sz w:val="20"/>
        <w:szCs w:val="20"/>
      </w:rPr>
      <w:t>.</w:t>
    </w:r>
  </w:p>
  <w:p w:rsidR="00731B49" w:rsidRDefault="00731B49" w:rsidP="00F34C67">
    <w:pPr>
      <w:pStyle w:val="Cabealho"/>
      <w:ind w:firstLine="0"/>
      <w:rPr>
        <w:rStyle w:val="Forte"/>
        <w:rFonts w:cs="Arial"/>
        <w:b w:val="0"/>
        <w:bCs w:val="0"/>
        <w:sz w:val="20"/>
        <w:szCs w:val="20"/>
      </w:rPr>
    </w:pPr>
  </w:p>
  <w:p w:rsidR="00731B49" w:rsidRDefault="00731B49" w:rsidP="00F34C67">
    <w:pPr>
      <w:pStyle w:val="Cabealho"/>
      <w:ind w:firstLine="0"/>
      <w:jc w:val="center"/>
      <w:rPr>
        <w:rStyle w:val="Forte"/>
        <w:rFonts w:cs="Arial"/>
        <w:b w:val="0"/>
        <w:bCs w:val="0"/>
        <w:sz w:val="20"/>
        <w:szCs w:val="20"/>
      </w:rPr>
    </w:pPr>
  </w:p>
  <w:p w:rsidR="00731B49" w:rsidRPr="00F34C67" w:rsidRDefault="00731B49" w:rsidP="00F34C67">
    <w:pPr>
      <w:pStyle w:val="Cabealho"/>
      <w:ind w:firstLine="0"/>
      <w:jc w:val="center"/>
      <w:rPr>
        <w:b/>
        <w:bCs/>
        <w:sz w:val="18"/>
        <w:szCs w:val="18"/>
      </w:rPr>
    </w:pPr>
    <w:r w:rsidRPr="00F34C67">
      <w:rPr>
        <w:rStyle w:val="Forte"/>
        <w:rFonts w:cs="Arial"/>
        <w:b w:val="0"/>
        <w:bCs w:val="0"/>
        <w:sz w:val="18"/>
        <w:szCs w:val="18"/>
      </w:rPr>
      <w:t>Rio Grande/RS, Brasil, 23 a 25 de outubro de 2013.</w:t>
    </w:r>
  </w:p>
  <w:p w:rsidR="00731B49" w:rsidRDefault="00731B49" w:rsidP="00F34C67">
    <w:pPr>
      <w:pStyle w:val="Cabealho"/>
      <w:jc w:val="left"/>
      <w:rPr>
        <w:rStyle w:val="Forte"/>
        <w:rFonts w:cs="Arial"/>
        <w:b w:val="0"/>
        <w:bCs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343E4"/>
    <w:rsid w:val="000609CD"/>
    <w:rsid w:val="000F630E"/>
    <w:rsid w:val="00125006"/>
    <w:rsid w:val="00126AE7"/>
    <w:rsid w:val="00147CA8"/>
    <w:rsid w:val="00185FE1"/>
    <w:rsid w:val="001964E7"/>
    <w:rsid w:val="001B51FA"/>
    <w:rsid w:val="001C7B8C"/>
    <w:rsid w:val="001E496B"/>
    <w:rsid w:val="00203D0A"/>
    <w:rsid w:val="0024774D"/>
    <w:rsid w:val="002604B3"/>
    <w:rsid w:val="002706AC"/>
    <w:rsid w:val="00275B4A"/>
    <w:rsid w:val="0029083B"/>
    <w:rsid w:val="002952B2"/>
    <w:rsid w:val="002A7A57"/>
    <w:rsid w:val="002F082C"/>
    <w:rsid w:val="003220E0"/>
    <w:rsid w:val="00334A83"/>
    <w:rsid w:val="00343C58"/>
    <w:rsid w:val="003855B3"/>
    <w:rsid w:val="00390EA0"/>
    <w:rsid w:val="003C0392"/>
    <w:rsid w:val="00417453"/>
    <w:rsid w:val="0042360F"/>
    <w:rsid w:val="004258B0"/>
    <w:rsid w:val="004337FF"/>
    <w:rsid w:val="0043396F"/>
    <w:rsid w:val="004374DF"/>
    <w:rsid w:val="0044123B"/>
    <w:rsid w:val="00465668"/>
    <w:rsid w:val="00493589"/>
    <w:rsid w:val="004D3431"/>
    <w:rsid w:val="004D7B34"/>
    <w:rsid w:val="004E7250"/>
    <w:rsid w:val="004F7A69"/>
    <w:rsid w:val="00520FB9"/>
    <w:rsid w:val="005231A9"/>
    <w:rsid w:val="0053608B"/>
    <w:rsid w:val="00572DD9"/>
    <w:rsid w:val="00596B56"/>
    <w:rsid w:val="005A4DAD"/>
    <w:rsid w:val="005B247F"/>
    <w:rsid w:val="005E4BFF"/>
    <w:rsid w:val="005E5B63"/>
    <w:rsid w:val="00602DC3"/>
    <w:rsid w:val="00656111"/>
    <w:rsid w:val="006A4184"/>
    <w:rsid w:val="006D36AD"/>
    <w:rsid w:val="006D39D3"/>
    <w:rsid w:val="006F1A5E"/>
    <w:rsid w:val="0070021A"/>
    <w:rsid w:val="00711AA3"/>
    <w:rsid w:val="00714DCA"/>
    <w:rsid w:val="00731B49"/>
    <w:rsid w:val="00731B6A"/>
    <w:rsid w:val="007345DE"/>
    <w:rsid w:val="00756AE6"/>
    <w:rsid w:val="00762D7D"/>
    <w:rsid w:val="0077249B"/>
    <w:rsid w:val="00782D45"/>
    <w:rsid w:val="007B4431"/>
    <w:rsid w:val="007C2D07"/>
    <w:rsid w:val="007D460B"/>
    <w:rsid w:val="0082219D"/>
    <w:rsid w:val="008248C8"/>
    <w:rsid w:val="0084622A"/>
    <w:rsid w:val="008607B7"/>
    <w:rsid w:val="00893180"/>
    <w:rsid w:val="008944C5"/>
    <w:rsid w:val="008E400D"/>
    <w:rsid w:val="00913DD2"/>
    <w:rsid w:val="00941544"/>
    <w:rsid w:val="00997D2C"/>
    <w:rsid w:val="009B054C"/>
    <w:rsid w:val="009B0959"/>
    <w:rsid w:val="009B2B2A"/>
    <w:rsid w:val="009D0723"/>
    <w:rsid w:val="009F1118"/>
    <w:rsid w:val="00A0143A"/>
    <w:rsid w:val="00A124AC"/>
    <w:rsid w:val="00A30A98"/>
    <w:rsid w:val="00A5024E"/>
    <w:rsid w:val="00A57F83"/>
    <w:rsid w:val="00A756D1"/>
    <w:rsid w:val="00A771C1"/>
    <w:rsid w:val="00A802B0"/>
    <w:rsid w:val="00AA0FF7"/>
    <w:rsid w:val="00AB08CB"/>
    <w:rsid w:val="00AD2201"/>
    <w:rsid w:val="00AD26E1"/>
    <w:rsid w:val="00AE30CB"/>
    <w:rsid w:val="00B11590"/>
    <w:rsid w:val="00B60031"/>
    <w:rsid w:val="00B85630"/>
    <w:rsid w:val="00B875EA"/>
    <w:rsid w:val="00B920B2"/>
    <w:rsid w:val="00B96B96"/>
    <w:rsid w:val="00B97698"/>
    <w:rsid w:val="00BB7E92"/>
    <w:rsid w:val="00BD3D68"/>
    <w:rsid w:val="00BD79AF"/>
    <w:rsid w:val="00C01FB0"/>
    <w:rsid w:val="00C15718"/>
    <w:rsid w:val="00C265A3"/>
    <w:rsid w:val="00C33C43"/>
    <w:rsid w:val="00C341B4"/>
    <w:rsid w:val="00C47B84"/>
    <w:rsid w:val="00C819B7"/>
    <w:rsid w:val="00C867AD"/>
    <w:rsid w:val="00C950B7"/>
    <w:rsid w:val="00CC0AC8"/>
    <w:rsid w:val="00CC3E16"/>
    <w:rsid w:val="00CC7422"/>
    <w:rsid w:val="00CD2059"/>
    <w:rsid w:val="00CD624B"/>
    <w:rsid w:val="00CF1585"/>
    <w:rsid w:val="00CF1B19"/>
    <w:rsid w:val="00D25A87"/>
    <w:rsid w:val="00D43862"/>
    <w:rsid w:val="00D740C6"/>
    <w:rsid w:val="00D8090F"/>
    <w:rsid w:val="00DD1B99"/>
    <w:rsid w:val="00DE6963"/>
    <w:rsid w:val="00DF2A25"/>
    <w:rsid w:val="00E02753"/>
    <w:rsid w:val="00E35DDC"/>
    <w:rsid w:val="00E6388F"/>
    <w:rsid w:val="00E935FF"/>
    <w:rsid w:val="00EA51E0"/>
    <w:rsid w:val="00EB13F7"/>
    <w:rsid w:val="00EB61DC"/>
    <w:rsid w:val="00EC6021"/>
    <w:rsid w:val="00F12B1F"/>
    <w:rsid w:val="00F332B1"/>
    <w:rsid w:val="00F34C67"/>
    <w:rsid w:val="00F36106"/>
    <w:rsid w:val="00F56270"/>
    <w:rsid w:val="00F60658"/>
    <w:rsid w:val="00F65AE9"/>
    <w:rsid w:val="00FA22C8"/>
    <w:rsid w:val="00FA54B0"/>
    <w:rsid w:val="00FA5B50"/>
    <w:rsid w:val="00FB3E05"/>
    <w:rsid w:val="00FD34BF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eastAsia="Times New Roman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D07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D0723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aliases w:val="TÍTULO DO TRABALHO Char"/>
    <w:basedOn w:val="Fontepargpadro"/>
    <w:link w:val="Ttulo"/>
    <w:uiPriority w:val="99"/>
    <w:locked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Fontepargpadro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11590"/>
    <w:rPr>
      <w:rFonts w:ascii="Arial" w:eastAsia="Arial Unicode MS" w:hAnsi="Arial" w:cs="Arial"/>
      <w:kern w:val="1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740C6"/>
    <w:rPr>
      <w:rFonts w:cs="Times New Roman"/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033F3"/>
    <w:rPr>
      <w:rFonts w:ascii="Arial" w:eastAsia="Arial Unicode MS" w:hAnsi="Arial" w:cs="Arial"/>
      <w:kern w:val="1"/>
    </w:rPr>
  </w:style>
  <w:style w:type="character" w:styleId="Refdenotadefim">
    <w:name w:val="endnote reference"/>
    <w:basedOn w:val="Fontepargpadro"/>
    <w:uiPriority w:val="99"/>
    <w:semiHidden/>
    <w:rsid w:val="000033F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033F3"/>
    <w:rPr>
      <w:rFonts w:ascii="Arial" w:eastAsia="Arial Unicode MS" w:hAnsi="Arial" w:cs="Arial"/>
      <w:kern w:val="1"/>
    </w:rPr>
  </w:style>
  <w:style w:type="character" w:styleId="Refdenotaderodap">
    <w:name w:val="footnote reference"/>
    <w:basedOn w:val="Fontepargpadro"/>
    <w:uiPriority w:val="99"/>
    <w:semiHidden/>
    <w:rsid w:val="000033F3"/>
    <w:rPr>
      <w:rFonts w:cs="Times New Roman"/>
      <w:vertAlign w:val="superscript"/>
    </w:rPr>
  </w:style>
  <w:style w:type="paragraph" w:customStyle="1" w:styleId="BodyText1">
    <w:name w:val="Body Text1"/>
    <w:uiPriority w:val="99"/>
    <w:rsid w:val="00CD624B"/>
    <w:pPr>
      <w:spacing w:after="120"/>
    </w:pPr>
    <w:rPr>
      <w:rFonts w:ascii="Times New Roman" w:eastAsia="?????? Pro W3" w:hAnsi="Times New Roman"/>
      <w:color w:val="000000"/>
      <w:sz w:val="24"/>
      <w:szCs w:val="24"/>
    </w:rPr>
  </w:style>
  <w:style w:type="paragraph" w:customStyle="1" w:styleId="EstiloArialesquerda3">
    <w:name w:val="Estilo Arial À esquerda:  3"/>
    <w:basedOn w:val="Normal"/>
    <w:uiPriority w:val="99"/>
    <w:rsid w:val="00A124AC"/>
    <w:pPr>
      <w:widowControl/>
      <w:suppressAutoHyphens w:val="0"/>
      <w:ind w:left="1701" w:right="1418" w:firstLine="0"/>
      <w:jc w:val="left"/>
    </w:pPr>
    <w:rPr>
      <w:rFonts w:eastAsia="Times New Roman"/>
      <w:kern w:val="0"/>
    </w:rPr>
  </w:style>
  <w:style w:type="character" w:styleId="Refdecomentrio">
    <w:name w:val="annotation reference"/>
    <w:basedOn w:val="Fontepargpadro"/>
    <w:uiPriority w:val="99"/>
    <w:semiHidden/>
    <w:rsid w:val="00126AE7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rsid w:val="00126AE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26AE7"/>
    <w:rPr>
      <w:rFonts w:ascii="Arial" w:eastAsia="Arial Unicode MS" w:hAnsi="Arial" w:cs="Arial"/>
      <w:kern w:val="1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26AE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26AE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B61DC"/>
    <w:rPr>
      <w:rFonts w:ascii="Arial" w:eastAsia="Arial Unicode MS" w:hAnsi="Arial" w:cs="Arial"/>
      <w:kern w:val="1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41745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417453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deproducao.cnptia.embrapa.br/FontesHTML/Arroz/ArrozIrrigadoBrasil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4397</Characters>
  <Application>Microsoft Office Word</Application>
  <DocSecurity>0</DocSecurity>
  <Lines>36</Lines>
  <Paragraphs>10</Paragraphs>
  <ScaleCrop>false</ScaleCrop>
  <Company>Casa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METODOLOGIAS PARA AVALIAR A VIABILIDADE DA MICROALGA Pediastrum boryanum AO HERBICIDA ROUNDUP</dc:title>
  <dc:subject/>
  <dc:creator>DGI</dc:creator>
  <cp:keywords/>
  <dc:description/>
  <cp:lastModifiedBy>NOTE</cp:lastModifiedBy>
  <cp:revision>2</cp:revision>
  <cp:lastPrinted>2013-05-31T18:34:00Z</cp:lastPrinted>
  <dcterms:created xsi:type="dcterms:W3CDTF">2013-07-17T21:27:00Z</dcterms:created>
  <dcterms:modified xsi:type="dcterms:W3CDTF">2013-07-17T21:27:00Z</dcterms:modified>
</cp:coreProperties>
</file>