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3B" w:rsidRPr="004F7A69" w:rsidRDefault="00AD37D9" w:rsidP="00EC61B8">
      <w:pPr>
        <w:ind w:firstLine="0"/>
        <w:jc w:val="center"/>
        <w:rPr>
          <w:b/>
        </w:rPr>
      </w:pPr>
      <w:r>
        <w:rPr>
          <w:b/>
        </w:rPr>
        <w:t>EFEITO</w:t>
      </w:r>
      <w:r w:rsidRPr="00125CE5">
        <w:rPr>
          <w:b/>
        </w:rPr>
        <w:t xml:space="preserve"> </w:t>
      </w:r>
      <w:r>
        <w:rPr>
          <w:b/>
        </w:rPr>
        <w:t>DA EXPOSIÇÃO CRÔNICA A</w:t>
      </w:r>
      <w:r w:rsidRPr="00125CE5">
        <w:rPr>
          <w:b/>
        </w:rPr>
        <w:t xml:space="preserve">O COBRE </w:t>
      </w:r>
      <w:r>
        <w:rPr>
          <w:b/>
        </w:rPr>
        <w:t>N</w:t>
      </w:r>
      <w:r w:rsidRPr="00125CE5">
        <w:rPr>
          <w:b/>
        </w:rPr>
        <w:t xml:space="preserve">O CRESCIMENTO E CONSUMO DE OXIGÊNIO DE JUVENIS DE </w:t>
      </w:r>
      <w:r w:rsidRPr="00125CE5">
        <w:rPr>
          <w:b/>
          <w:i/>
        </w:rPr>
        <w:t>Poecilia vivipara</w:t>
      </w:r>
    </w:p>
    <w:p w:rsidR="0029083B" w:rsidRDefault="0029083B" w:rsidP="0029083B">
      <w:pPr>
        <w:ind w:firstLine="0"/>
        <w:jc w:val="right"/>
        <w:rPr>
          <w:b/>
        </w:rPr>
      </w:pPr>
    </w:p>
    <w:p w:rsidR="0029083B" w:rsidRDefault="0029083B" w:rsidP="00AD37D9">
      <w:pPr>
        <w:ind w:firstLine="0"/>
        <w:jc w:val="right"/>
        <w:rPr>
          <w:b/>
        </w:rPr>
      </w:pPr>
    </w:p>
    <w:p w:rsidR="00C47B84" w:rsidRPr="00EC61B8" w:rsidRDefault="00EC61B8" w:rsidP="00EC61B8">
      <w:pPr>
        <w:ind w:firstLine="0"/>
      </w:pPr>
      <w:r>
        <w:t>AFONSO, Sidnei Braz; ANNI, Iuri Salim Abou</w:t>
      </w:r>
      <w:r w:rsidR="00AD37D9">
        <w:t xml:space="preserve">; </w:t>
      </w:r>
      <w:r>
        <w:t xml:space="preserve">ABRIL, </w:t>
      </w:r>
      <w:r w:rsidR="00AD37D9">
        <w:t xml:space="preserve">Isabel </w:t>
      </w:r>
      <w:r>
        <w:t>Moreno</w:t>
      </w:r>
      <w:r w:rsidR="00AD37D9">
        <w:t xml:space="preserve">; </w:t>
      </w:r>
      <w:r w:rsidR="00EA4D78">
        <w:t xml:space="preserve">LAUER </w:t>
      </w:r>
      <w:r w:rsidR="00AD37D9">
        <w:t xml:space="preserve">Mariana </w:t>
      </w:r>
      <w:r w:rsidR="00AD37D9" w:rsidRPr="003E4A95">
        <w:t>M</w:t>
      </w:r>
      <w:r w:rsidR="003E4A95">
        <w:t>achado</w:t>
      </w:r>
      <w:r w:rsidR="00AD37D9">
        <w:t>;</w:t>
      </w:r>
      <w:r>
        <w:t xml:space="preserve"> </w:t>
      </w:r>
      <w:r w:rsidR="00EA4D78">
        <w:t>BIANCHINI,  Adalto</w:t>
      </w:r>
    </w:p>
    <w:p w:rsidR="00C47B84" w:rsidRDefault="00EA4D78" w:rsidP="00A771C1">
      <w:pPr>
        <w:ind w:firstLine="0"/>
        <w:jc w:val="right"/>
        <w:rPr>
          <w:b/>
        </w:rPr>
      </w:pPr>
      <w:r>
        <w:rPr>
          <w:b/>
        </w:rPr>
        <w:t>sbafonso@yahoo.com.br</w:t>
      </w:r>
    </w:p>
    <w:p w:rsidR="00A771C1" w:rsidRDefault="00A771C1" w:rsidP="00A771C1">
      <w:pPr>
        <w:ind w:firstLine="0"/>
        <w:jc w:val="right"/>
        <w:rPr>
          <w:b/>
        </w:rPr>
      </w:pPr>
    </w:p>
    <w:p w:rsidR="00520FB9" w:rsidRDefault="00AD37D9" w:rsidP="00711AA3">
      <w:pPr>
        <w:ind w:firstLine="0"/>
        <w:jc w:val="right"/>
        <w:rPr>
          <w:b/>
        </w:rPr>
      </w:pPr>
      <w:r>
        <w:rPr>
          <w:b/>
        </w:rPr>
        <w:t xml:space="preserve">Evento: </w:t>
      </w:r>
      <w:r w:rsidR="00EC61B8">
        <w:rPr>
          <w:b/>
        </w:rPr>
        <w:t>Congresso de Iniciação Científica</w:t>
      </w:r>
    </w:p>
    <w:p w:rsidR="00C47B84" w:rsidRPr="00FB3E05" w:rsidRDefault="00711AA3" w:rsidP="00711AA3">
      <w:pPr>
        <w:ind w:firstLine="0"/>
        <w:jc w:val="right"/>
        <w:rPr>
          <w:b/>
        </w:rPr>
      </w:pPr>
      <w:r w:rsidRPr="00FB3E05">
        <w:rPr>
          <w:b/>
        </w:rPr>
        <w:t>Área</w:t>
      </w:r>
      <w:r w:rsidR="00520FB9" w:rsidRPr="00FB3E05">
        <w:rPr>
          <w:b/>
        </w:rPr>
        <w:t xml:space="preserve"> do conhecimento</w:t>
      </w:r>
      <w:r w:rsidR="00AD37D9">
        <w:rPr>
          <w:b/>
        </w:rPr>
        <w:t>: Toxicologia</w:t>
      </w:r>
    </w:p>
    <w:p w:rsidR="00AD37D9" w:rsidRDefault="00AD37D9" w:rsidP="009F1118">
      <w:pPr>
        <w:ind w:firstLine="0"/>
        <w:rPr>
          <w:b/>
        </w:rPr>
      </w:pPr>
    </w:p>
    <w:p w:rsidR="00C341B4" w:rsidRPr="009F1118" w:rsidRDefault="009F1118" w:rsidP="009F1118">
      <w:pPr>
        <w:ind w:firstLine="0"/>
        <w:rPr>
          <w:b/>
        </w:rPr>
      </w:pPr>
      <w:r w:rsidRPr="009F1118">
        <w:rPr>
          <w:b/>
        </w:rPr>
        <w:t>Palavras-chave</w:t>
      </w:r>
      <w:r w:rsidR="00AD37D9">
        <w:rPr>
          <w:b/>
        </w:rPr>
        <w:t xml:space="preserve">: </w:t>
      </w:r>
      <w:r w:rsidR="00EA4D78" w:rsidRPr="00125CE5">
        <w:t>Cobre</w:t>
      </w:r>
      <w:r w:rsidR="00EA4D78">
        <w:t>,</w:t>
      </w:r>
      <w:r w:rsidR="00AD37D9" w:rsidRPr="00125CE5">
        <w:t xml:space="preserve"> </w:t>
      </w:r>
      <w:r w:rsidR="00EA4D78">
        <w:t>Crescimento</w:t>
      </w:r>
      <w:r w:rsidR="00AD37D9">
        <w:t xml:space="preserve">, </w:t>
      </w:r>
      <w:r w:rsidR="00AD37D9" w:rsidRPr="00125CE5">
        <w:t>Toxicidade</w:t>
      </w:r>
      <w:r w:rsidR="00AD37D9">
        <w:t xml:space="preserve"> crônica</w:t>
      </w:r>
    </w:p>
    <w:p w:rsidR="003220E0" w:rsidRPr="00FB3E05" w:rsidRDefault="003220E0" w:rsidP="0029083B">
      <w:pPr>
        <w:pStyle w:val="Ttulodaseoprimria"/>
      </w:pPr>
    </w:p>
    <w:p w:rsidR="009D0723" w:rsidRPr="007345DE" w:rsidRDefault="0082219D" w:rsidP="0029083B">
      <w:pPr>
        <w:pStyle w:val="Ttulodaseoprimria"/>
      </w:pPr>
      <w:r w:rsidRPr="007345DE">
        <w:t>INTRODUÇÃO</w:t>
      </w:r>
    </w:p>
    <w:p w:rsidR="009D0723" w:rsidRPr="00B85630" w:rsidRDefault="009D0723" w:rsidP="00B762BC">
      <w:pPr>
        <w:ind w:left="709" w:firstLine="0"/>
      </w:pPr>
    </w:p>
    <w:p w:rsidR="00AD37D9" w:rsidRDefault="00EA4D78" w:rsidP="00EA4D78">
      <w:pPr>
        <w:rPr>
          <w:rFonts w:cs="Arial"/>
        </w:rPr>
      </w:pPr>
      <w:r w:rsidRPr="00EA4D78">
        <w:rPr>
          <w:rFonts w:cs="Arial"/>
        </w:rPr>
        <w:t>A poluição dos ecossistemas aquáticos por diversas classes de poluentes tem assumido sérias proporções nos últimos anos (LAWS, 2000). Dentre os diferentes tipos de poluentes, os metais pesados têm recebido relevante atenção, devido a sua elevada toxicidade e comportamento de acumulação nos organismos (SÁNCHEZ, 2008).</w:t>
      </w:r>
    </w:p>
    <w:p w:rsidR="00EA4D78" w:rsidRDefault="00EA4D78" w:rsidP="00EA4D78">
      <w:pPr>
        <w:rPr>
          <w:rFonts w:cs="Arial"/>
        </w:rPr>
      </w:pPr>
      <w:r w:rsidRPr="00EA4D78">
        <w:rPr>
          <w:rFonts w:cs="Arial"/>
        </w:rPr>
        <w:t>O cobre é um metal essencial de transição redox-ativo, que atua como elemento estrutural de proteínas regulatórias da homeostase celular</w:t>
      </w:r>
      <w:r w:rsidR="00404316">
        <w:rPr>
          <w:rFonts w:cs="Arial"/>
        </w:rPr>
        <w:t xml:space="preserve">. </w:t>
      </w:r>
      <w:r w:rsidRPr="00EA4D78">
        <w:rPr>
          <w:rFonts w:cs="Arial"/>
        </w:rPr>
        <w:t>Contudo, em concentrações elevadas, o cobre se torna tóxico aos organismos, podendo causar sérios comprometimentos no funcionamento celular.</w:t>
      </w:r>
    </w:p>
    <w:p w:rsidR="003B3336" w:rsidRDefault="003B3336" w:rsidP="00EA4D78">
      <w:pPr>
        <w:rPr>
          <w:rFonts w:cs="Arial"/>
        </w:rPr>
      </w:pPr>
      <w:r w:rsidRPr="003B3336">
        <w:rPr>
          <w:rFonts w:cs="Arial"/>
          <w:i/>
        </w:rPr>
        <w:t>Poecilia vivipara</w:t>
      </w:r>
      <w:r w:rsidRPr="003B3336">
        <w:rPr>
          <w:rFonts w:cs="Arial"/>
        </w:rPr>
        <w:t xml:space="preserve"> é uma espécie nativa, </w:t>
      </w:r>
      <w:r>
        <w:rPr>
          <w:rFonts w:cs="Arial"/>
        </w:rPr>
        <w:t>considerada</w:t>
      </w:r>
      <w:r w:rsidRPr="003B3336">
        <w:rPr>
          <w:rFonts w:cs="Arial"/>
        </w:rPr>
        <w:t xml:space="preserve"> um dos peixes mais comuns de ocorrência nos lagos, rios e lagoas costeiras no Brasil (SANTOS et al., 2011).</w:t>
      </w:r>
      <w:r>
        <w:rPr>
          <w:rFonts w:cs="Arial"/>
        </w:rPr>
        <w:t xml:space="preserve"> </w:t>
      </w:r>
      <w:r w:rsidRPr="003B3336">
        <w:rPr>
          <w:rFonts w:cs="Arial"/>
        </w:rPr>
        <w:t>Devido a sua ampla distribuição geográfica</w:t>
      </w:r>
      <w:r>
        <w:rPr>
          <w:rFonts w:cs="Arial"/>
        </w:rPr>
        <w:t>,</w:t>
      </w:r>
      <w:r w:rsidRPr="003B3336">
        <w:rPr>
          <w:rFonts w:cs="Arial"/>
        </w:rPr>
        <w:t xml:space="preserve"> tolerância a variações ambientais e facilidade de manutenção e reprodução em cativeiro, </w:t>
      </w:r>
      <w:r w:rsidRPr="003B3336">
        <w:rPr>
          <w:rFonts w:cs="Arial"/>
          <w:i/>
        </w:rPr>
        <w:t>P. vivipara</w:t>
      </w:r>
      <w:r w:rsidRPr="003B3336">
        <w:rPr>
          <w:rFonts w:cs="Arial"/>
        </w:rPr>
        <w:t xml:space="preserve"> é considerado um modelo em potencial para estudos de toxicidade de contaminantes aquáticos</w:t>
      </w:r>
      <w:r>
        <w:rPr>
          <w:rFonts w:cs="Arial"/>
        </w:rPr>
        <w:t>.</w:t>
      </w:r>
    </w:p>
    <w:p w:rsidR="003B3336" w:rsidRPr="003B3336" w:rsidRDefault="003B3336" w:rsidP="003B3336">
      <w:pPr>
        <w:rPr>
          <w:rFonts w:cs="Arial"/>
        </w:rPr>
      </w:pPr>
      <w:r w:rsidRPr="003B3336">
        <w:rPr>
          <w:rFonts w:cs="Arial"/>
        </w:rPr>
        <w:t xml:space="preserve">De acordo com o exposto acima, conhecer os efeitos fisiológicos do cobre </w:t>
      </w:r>
      <w:r>
        <w:rPr>
          <w:rFonts w:cs="Arial"/>
        </w:rPr>
        <w:t>sobre o crescimento e o consumo de oxigênio</w:t>
      </w:r>
      <w:r w:rsidRPr="003B3336">
        <w:rPr>
          <w:rFonts w:cs="Arial"/>
        </w:rPr>
        <w:t xml:space="preserve"> de </w:t>
      </w:r>
      <w:r w:rsidRPr="003B3336">
        <w:rPr>
          <w:rFonts w:cs="Arial"/>
          <w:i/>
        </w:rPr>
        <w:t>P. vivipara</w:t>
      </w:r>
      <w:r w:rsidRPr="003B3336">
        <w:rPr>
          <w:rFonts w:cs="Arial"/>
        </w:rPr>
        <w:t xml:space="preserve"> é de grande importância para o entendimento dos mecanismos de toxicidade crônica desse metal.</w:t>
      </w:r>
    </w:p>
    <w:p w:rsidR="00B762BC" w:rsidRDefault="00B762BC" w:rsidP="0029083B">
      <w:pPr>
        <w:pStyle w:val="Ttulodaseoprimria"/>
      </w:pPr>
    </w:p>
    <w:p w:rsidR="00B762BC" w:rsidRDefault="00B762BC" w:rsidP="0029083B">
      <w:pPr>
        <w:pStyle w:val="Ttulodaseoprimria"/>
      </w:pPr>
    </w:p>
    <w:p w:rsidR="003220E0" w:rsidRDefault="003B3336" w:rsidP="0029083B">
      <w:pPr>
        <w:pStyle w:val="Ttulodaseoprimria"/>
      </w:pPr>
      <w:r>
        <w:t>MATERIAL</w:t>
      </w:r>
      <w:r w:rsidR="0082219D" w:rsidRPr="00FA5B50">
        <w:t xml:space="preserve"> E MÉTODOS</w:t>
      </w:r>
    </w:p>
    <w:p w:rsidR="003B3336" w:rsidRPr="00FA5B50" w:rsidRDefault="003B3336" w:rsidP="0029083B">
      <w:pPr>
        <w:pStyle w:val="Ttulodaseoprimria"/>
      </w:pPr>
    </w:p>
    <w:p w:rsidR="00B762BC" w:rsidRDefault="00B762BC" w:rsidP="00C97D3F">
      <w:pPr>
        <w:rPr>
          <w:rFonts w:cs="Arial"/>
        </w:rPr>
      </w:pPr>
      <w:r>
        <w:rPr>
          <w:rFonts w:cs="Arial"/>
        </w:rPr>
        <w:t xml:space="preserve">Os </w:t>
      </w:r>
      <w:r w:rsidR="00404316">
        <w:rPr>
          <w:rFonts w:cs="Arial"/>
        </w:rPr>
        <w:t xml:space="preserve">machos e fêmeas de </w:t>
      </w:r>
      <w:r w:rsidR="00404316" w:rsidRPr="003B3336">
        <w:rPr>
          <w:rFonts w:cs="Arial"/>
          <w:i/>
        </w:rPr>
        <w:t>P. vivipara</w:t>
      </w:r>
      <w:r>
        <w:rPr>
          <w:rFonts w:cs="Arial"/>
        </w:rPr>
        <w:t xml:space="preserve"> foram </w:t>
      </w:r>
      <w:r w:rsidR="006942CC">
        <w:rPr>
          <w:rFonts w:cs="Arial"/>
        </w:rPr>
        <w:t>cultivados</w:t>
      </w:r>
      <w:r>
        <w:rPr>
          <w:rFonts w:cs="Arial"/>
        </w:rPr>
        <w:t xml:space="preserve"> </w:t>
      </w:r>
      <w:r w:rsidR="00404316">
        <w:rPr>
          <w:rFonts w:cs="Arial"/>
        </w:rPr>
        <w:t xml:space="preserve">no </w:t>
      </w:r>
      <w:r w:rsidR="00404316" w:rsidRPr="00404316">
        <w:rPr>
          <w:rFonts w:cs="Arial"/>
        </w:rPr>
        <w:t>biotério aquático do Instituto de Ciências Biológicas da FURG</w:t>
      </w:r>
      <w:r w:rsidR="006942CC">
        <w:rPr>
          <w:rFonts w:cs="Arial"/>
        </w:rPr>
        <w:t>, sob condições controladas</w:t>
      </w:r>
      <w:r w:rsidR="00404316">
        <w:rPr>
          <w:rFonts w:cs="Arial"/>
        </w:rPr>
        <w:t xml:space="preserve">. </w:t>
      </w:r>
      <w:r>
        <w:rPr>
          <w:rFonts w:cs="Arial"/>
        </w:rPr>
        <w:t xml:space="preserve">As fêmeas prenhas </w:t>
      </w:r>
      <w:r w:rsidR="00404316">
        <w:rPr>
          <w:rFonts w:cs="Arial"/>
        </w:rPr>
        <w:t>foram</w:t>
      </w:r>
      <w:r>
        <w:rPr>
          <w:rFonts w:cs="Arial"/>
        </w:rPr>
        <w:t xml:space="preserve"> separadas em caixas parideiras </w:t>
      </w:r>
      <w:r w:rsidR="00404316">
        <w:rPr>
          <w:rFonts w:cs="Arial"/>
        </w:rPr>
        <w:t>até o nascimento dos filhotes</w:t>
      </w:r>
      <w:r>
        <w:rPr>
          <w:rFonts w:cs="Arial"/>
        </w:rPr>
        <w:t xml:space="preserve">. </w:t>
      </w:r>
      <w:r w:rsidR="00404316">
        <w:rPr>
          <w:rFonts w:cs="Arial"/>
        </w:rPr>
        <w:t>Os filhotes recém-nascidos</w:t>
      </w:r>
      <w:r w:rsidR="003E4A95">
        <w:rPr>
          <w:rFonts w:cs="Arial"/>
        </w:rPr>
        <w:t xml:space="preserve"> (6.2 ± 0.1 mg e</w:t>
      </w:r>
      <w:r>
        <w:rPr>
          <w:rFonts w:cs="Arial"/>
        </w:rPr>
        <w:t xml:space="preserve"> </w:t>
      </w:r>
      <w:r w:rsidR="00766600">
        <w:rPr>
          <w:rFonts w:cs="Arial"/>
        </w:rPr>
        <w:t>8</w:t>
      </w:r>
      <w:r w:rsidR="003E4A95">
        <w:rPr>
          <w:rFonts w:cs="Arial"/>
        </w:rPr>
        <w:t>.0 ± 0.1</w:t>
      </w:r>
      <w:r w:rsidR="00766600">
        <w:rPr>
          <w:rFonts w:cs="Arial"/>
        </w:rPr>
        <w:t xml:space="preserve"> mm) </w:t>
      </w:r>
      <w:r w:rsidR="00404316">
        <w:rPr>
          <w:rFonts w:cs="Arial"/>
        </w:rPr>
        <w:t xml:space="preserve">foram expostos ao metal em quatro tratamentos experimentais </w:t>
      </w:r>
      <w:r>
        <w:rPr>
          <w:rFonts w:cs="Arial"/>
        </w:rPr>
        <w:t xml:space="preserve">(0= controle, 5, 9 e 20 </w:t>
      </w:r>
      <w:r w:rsidRPr="00717F4D">
        <w:rPr>
          <w:rFonts w:cs="Arial"/>
        </w:rPr>
        <w:t>µg Cu/L</w:t>
      </w:r>
      <w:r w:rsidR="00535A19">
        <w:rPr>
          <w:rFonts w:cs="Arial"/>
        </w:rPr>
        <w:t>)</w:t>
      </w:r>
      <w:r w:rsidR="00C97D3F">
        <w:rPr>
          <w:rFonts w:cs="Arial"/>
        </w:rPr>
        <w:t xml:space="preserve">. </w:t>
      </w:r>
      <w:r w:rsidR="00C97D3F" w:rsidRPr="00C97D3F">
        <w:rPr>
          <w:rFonts w:cs="Arial"/>
        </w:rPr>
        <w:t xml:space="preserve">Cada tratamento </w:t>
      </w:r>
      <w:r w:rsidR="00C97D3F">
        <w:rPr>
          <w:rFonts w:cs="Arial"/>
        </w:rPr>
        <w:t>foi</w:t>
      </w:r>
      <w:r w:rsidR="00C97D3F" w:rsidRPr="00C97D3F">
        <w:rPr>
          <w:rFonts w:cs="Arial"/>
        </w:rPr>
        <w:t xml:space="preserve"> realizado em triplicat</w:t>
      </w:r>
      <w:r w:rsidR="00C97D3F">
        <w:rPr>
          <w:rFonts w:cs="Arial"/>
        </w:rPr>
        <w:t xml:space="preserve">a, </w:t>
      </w:r>
      <w:r w:rsidR="00C97D3F" w:rsidRPr="00C97D3F">
        <w:rPr>
          <w:rFonts w:cs="Arial"/>
        </w:rPr>
        <w:t xml:space="preserve">usando um sistema estático com renovação total do meio experimental a cada 24 </w:t>
      </w:r>
      <w:r w:rsidR="00C97D3F">
        <w:rPr>
          <w:rFonts w:cs="Arial"/>
        </w:rPr>
        <w:t xml:space="preserve">h. </w:t>
      </w:r>
      <w:r w:rsidR="00C97D3F" w:rsidRPr="00C97D3F">
        <w:rPr>
          <w:rFonts w:cs="Arial"/>
        </w:rPr>
        <w:t xml:space="preserve">O período experimental </w:t>
      </w:r>
      <w:r w:rsidR="00C97D3F">
        <w:rPr>
          <w:rFonts w:cs="Arial"/>
        </w:rPr>
        <w:t>teve</w:t>
      </w:r>
      <w:r w:rsidR="00C97D3F" w:rsidRPr="00C97D3F">
        <w:rPr>
          <w:rFonts w:cs="Arial"/>
        </w:rPr>
        <w:t xml:space="preserve"> duração de 28 dias.</w:t>
      </w:r>
    </w:p>
    <w:p w:rsidR="003220E0" w:rsidRPr="00C97D3F" w:rsidRDefault="00C97D3F" w:rsidP="00C97D3F">
      <w:pPr>
        <w:rPr>
          <w:rFonts w:cs="Arial"/>
        </w:rPr>
      </w:pPr>
      <w:r w:rsidRPr="00C97D3F">
        <w:rPr>
          <w:rFonts w:cs="Arial"/>
        </w:rPr>
        <w:t xml:space="preserve">Ao final do experimento, foi medido </w:t>
      </w:r>
      <w:r>
        <w:rPr>
          <w:rFonts w:cs="Arial"/>
        </w:rPr>
        <w:t xml:space="preserve">individualmente </w:t>
      </w:r>
      <w:r w:rsidRPr="00C97D3F">
        <w:rPr>
          <w:rFonts w:cs="Arial"/>
        </w:rPr>
        <w:t>o consumo de oxigênio utilizando-se um respirômetro estático</w:t>
      </w:r>
      <w:r>
        <w:rPr>
          <w:rFonts w:cs="Arial"/>
        </w:rPr>
        <w:t>. Após, os peixes foram anestesiados, medidos</w:t>
      </w:r>
      <w:r w:rsidR="00DD10E4">
        <w:rPr>
          <w:rFonts w:cs="Arial"/>
        </w:rPr>
        <w:t xml:space="preserve"> </w:t>
      </w:r>
      <w:r w:rsidR="006942CC">
        <w:rPr>
          <w:rFonts w:cs="Arial"/>
        </w:rPr>
        <w:t>(</w:t>
      </w:r>
      <w:r w:rsidR="00535A19">
        <w:rPr>
          <w:rFonts w:cs="Arial"/>
        </w:rPr>
        <w:t>m</w:t>
      </w:r>
      <w:r w:rsidR="006942CC">
        <w:rPr>
          <w:rFonts w:cs="Arial"/>
        </w:rPr>
        <w:t>m)</w:t>
      </w:r>
      <w:r>
        <w:rPr>
          <w:rFonts w:cs="Arial"/>
        </w:rPr>
        <w:t xml:space="preserve"> e pesados</w:t>
      </w:r>
      <w:r w:rsidR="006942CC">
        <w:rPr>
          <w:rFonts w:cs="Arial"/>
        </w:rPr>
        <w:t xml:space="preserve"> (</w:t>
      </w:r>
      <w:r w:rsidR="00535A19">
        <w:rPr>
          <w:rFonts w:cs="Arial"/>
        </w:rPr>
        <w:t>m</w:t>
      </w:r>
      <w:r w:rsidR="006942CC">
        <w:rPr>
          <w:rFonts w:cs="Arial"/>
        </w:rPr>
        <w:t>g)</w:t>
      </w:r>
      <w:r>
        <w:rPr>
          <w:rFonts w:cs="Arial"/>
        </w:rPr>
        <w:t>, para posterior cálculo dos índices zootécnicos.</w:t>
      </w:r>
    </w:p>
    <w:p w:rsidR="003E4A95" w:rsidRDefault="003E4A95" w:rsidP="0029083B">
      <w:pPr>
        <w:pStyle w:val="Ttulodaseoprimria"/>
      </w:pPr>
    </w:p>
    <w:p w:rsidR="0043497B" w:rsidRDefault="0043497B" w:rsidP="0029083B">
      <w:pPr>
        <w:pStyle w:val="Ttulodaseoprimria"/>
      </w:pPr>
    </w:p>
    <w:p w:rsidR="009D0723" w:rsidRPr="00D8090F" w:rsidRDefault="0029083B" w:rsidP="0029083B">
      <w:pPr>
        <w:pStyle w:val="Ttulodaseoprimria"/>
      </w:pPr>
      <w:r>
        <w:lastRenderedPageBreak/>
        <w:t xml:space="preserve">RESULTADOS </w:t>
      </w:r>
      <w:r w:rsidR="009F1118">
        <w:t>e</w:t>
      </w:r>
      <w:r>
        <w:t xml:space="preserve"> DISCUSSÃO </w:t>
      </w:r>
    </w:p>
    <w:p w:rsidR="009D0723" w:rsidRDefault="009D0723" w:rsidP="0029083B">
      <w:pPr>
        <w:rPr>
          <w:rFonts w:cs="Arial"/>
        </w:rPr>
      </w:pPr>
    </w:p>
    <w:p w:rsidR="009D0723" w:rsidRDefault="006942CC" w:rsidP="0029083B">
      <w:pPr>
        <w:rPr>
          <w:rFonts w:cs="Arial"/>
        </w:rPr>
      </w:pPr>
      <w:r w:rsidRPr="006942CC">
        <w:rPr>
          <w:rFonts w:cs="Arial"/>
        </w:rPr>
        <w:t>Não foi encontrada diferença significativa (p&gt;0,05) no crescimento</w:t>
      </w:r>
      <w:r w:rsidR="00690607">
        <w:rPr>
          <w:rFonts w:cs="Arial"/>
        </w:rPr>
        <w:t xml:space="preserve"> (Tabela 1)</w:t>
      </w:r>
      <w:r w:rsidRPr="006942CC">
        <w:rPr>
          <w:rFonts w:cs="Arial"/>
        </w:rPr>
        <w:t>. Os índices de sobrevivência, conversão alimentar aparente, taxa de crescimento específico e fator de condição de Fulton também não apresentaram diferença significativa entre os tratamentos</w:t>
      </w:r>
      <w:r w:rsidR="00690607">
        <w:rPr>
          <w:rFonts w:cs="Arial"/>
        </w:rPr>
        <w:t xml:space="preserve"> (Tabela 1)</w:t>
      </w:r>
      <w:r w:rsidRPr="006942CC">
        <w:rPr>
          <w:rFonts w:cs="Arial"/>
        </w:rPr>
        <w:t xml:space="preserve">. Já para o consumo de oxigênio, foi observada uma elevação significativa </w:t>
      </w:r>
      <w:r w:rsidR="005109EE">
        <w:rPr>
          <w:rFonts w:cs="Arial"/>
        </w:rPr>
        <w:t xml:space="preserve">(p&lt;0,05) </w:t>
      </w:r>
      <w:r w:rsidRPr="006942CC">
        <w:rPr>
          <w:rFonts w:cs="Arial"/>
        </w:rPr>
        <w:t>de acordo com o aumento das concentrações de cobre</w:t>
      </w:r>
      <w:r w:rsidR="00690607">
        <w:rPr>
          <w:rFonts w:cs="Arial"/>
        </w:rPr>
        <w:t xml:space="preserve"> (Tabela 1)</w:t>
      </w:r>
      <w:r w:rsidRPr="006942CC">
        <w:rPr>
          <w:rFonts w:cs="Arial"/>
        </w:rPr>
        <w:t xml:space="preserve">. Esses resultados mostram que o crescimento de filhotes recém nascidos de </w:t>
      </w:r>
      <w:r w:rsidRPr="006942CC">
        <w:rPr>
          <w:rFonts w:cs="Arial"/>
          <w:i/>
        </w:rPr>
        <w:t>P. vivipara</w:t>
      </w:r>
      <w:r w:rsidRPr="006942CC">
        <w:rPr>
          <w:rFonts w:cs="Arial"/>
        </w:rPr>
        <w:t xml:space="preserve"> não é afetado diretamente pela exposição crônica ao cobre, fato que pode estar relacionado a ajustes fisiológicos decorrentes do longo período de exposição. Por outro lado, o aumento no consumo de oxigênio nos peixes das concentrações 9 e 20 µg Cu/L em relação ao tratamento controle, reflete uma elevação na taxa metabólica, que pode estar relacionada com um maior esforço para manutenção da homeostase celular nessas concentrações.</w:t>
      </w:r>
    </w:p>
    <w:p w:rsidR="005A7A4B" w:rsidRDefault="005A7A4B" w:rsidP="0029083B">
      <w:pPr>
        <w:rPr>
          <w:rFonts w:cs="Arial"/>
        </w:rPr>
      </w:pPr>
    </w:p>
    <w:p w:rsidR="00FE7FC8" w:rsidRDefault="005A7A4B" w:rsidP="00040F46">
      <w:pPr>
        <w:ind w:firstLine="0"/>
      </w:pPr>
      <w:r>
        <w:t>Tabela 1 – Sobrevivência,</w:t>
      </w:r>
      <w:r w:rsidR="00690607">
        <w:t xml:space="preserve"> peso final,</w:t>
      </w:r>
      <w:r>
        <w:t xml:space="preserve"> taxa de crescimento específico, conversão alimentar aparente, fator de condição de Fulton e consumo de oxigênio (média e erro padrão).</w:t>
      </w:r>
    </w:p>
    <w:tbl>
      <w:tblPr>
        <w:tblW w:w="9499" w:type="dxa"/>
        <w:jc w:val="center"/>
        <w:tblInd w:w="70" w:type="dxa"/>
        <w:tblCellMar>
          <w:left w:w="70" w:type="dxa"/>
          <w:right w:w="70" w:type="dxa"/>
        </w:tblCellMar>
        <w:tblLook w:val="04A0"/>
      </w:tblPr>
      <w:tblGrid>
        <w:gridCol w:w="4253"/>
        <w:gridCol w:w="1417"/>
        <w:gridCol w:w="1276"/>
        <w:gridCol w:w="1277"/>
        <w:gridCol w:w="1276"/>
      </w:tblGrid>
      <w:tr w:rsidR="00FE7FC8" w:rsidRPr="00FE7FC8" w:rsidTr="003E4A95">
        <w:trPr>
          <w:trHeight w:val="342"/>
          <w:jc w:val="center"/>
        </w:trPr>
        <w:tc>
          <w:tcPr>
            <w:tcW w:w="4253" w:type="dxa"/>
            <w:tcBorders>
              <w:top w:val="single" w:sz="4" w:space="0" w:color="auto"/>
              <w:left w:val="nil"/>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b/>
                <w:bCs/>
                <w:color w:val="000000"/>
                <w:kern w:val="0"/>
                <w:sz w:val="22"/>
                <w:szCs w:val="22"/>
              </w:rPr>
            </w:pPr>
            <w:r w:rsidRPr="00FE7FC8">
              <w:rPr>
                <w:rFonts w:eastAsia="Times New Roman" w:cs="Arial"/>
                <w:b/>
                <w:bCs/>
                <w:color w:val="000000"/>
                <w:kern w:val="0"/>
                <w:sz w:val="22"/>
                <w:szCs w:val="22"/>
              </w:rPr>
              <w:t> </w:t>
            </w:r>
          </w:p>
        </w:tc>
        <w:tc>
          <w:tcPr>
            <w:tcW w:w="5246" w:type="dxa"/>
            <w:gridSpan w:val="4"/>
            <w:tcBorders>
              <w:top w:val="single" w:sz="4" w:space="0" w:color="auto"/>
              <w:left w:val="nil"/>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b/>
                <w:bCs/>
                <w:color w:val="000000"/>
                <w:kern w:val="0"/>
                <w:sz w:val="22"/>
                <w:szCs w:val="22"/>
              </w:rPr>
            </w:pPr>
            <w:r w:rsidRPr="00FE7FC8">
              <w:rPr>
                <w:rFonts w:eastAsia="Times New Roman" w:cs="Arial"/>
                <w:b/>
                <w:bCs/>
                <w:color w:val="000000"/>
                <w:kern w:val="0"/>
                <w:sz w:val="22"/>
                <w:szCs w:val="22"/>
              </w:rPr>
              <w:t>Concentrações de cobre (µg/L)</w:t>
            </w:r>
          </w:p>
        </w:tc>
      </w:tr>
      <w:tr w:rsidR="00690607" w:rsidRPr="00FE7FC8" w:rsidTr="003E4A95">
        <w:trPr>
          <w:trHeight w:val="342"/>
          <w:jc w:val="center"/>
        </w:trPr>
        <w:tc>
          <w:tcPr>
            <w:tcW w:w="4253" w:type="dxa"/>
            <w:tcBorders>
              <w:top w:val="nil"/>
              <w:left w:val="nil"/>
              <w:bottom w:val="single" w:sz="4" w:space="0" w:color="auto"/>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b/>
                <w:bCs/>
                <w:color w:val="000000"/>
                <w:kern w:val="0"/>
                <w:sz w:val="22"/>
                <w:szCs w:val="22"/>
              </w:rPr>
            </w:pPr>
            <w:r w:rsidRPr="00FE7FC8">
              <w:rPr>
                <w:rFonts w:eastAsia="Times New Roman" w:cs="Arial"/>
                <w:b/>
                <w:bCs/>
                <w:color w:val="000000"/>
                <w:kern w:val="0"/>
                <w:sz w:val="22"/>
                <w:szCs w:val="22"/>
              </w:rPr>
              <w:t> </w:t>
            </w:r>
          </w:p>
        </w:tc>
        <w:tc>
          <w:tcPr>
            <w:tcW w:w="1417" w:type="dxa"/>
            <w:tcBorders>
              <w:top w:val="nil"/>
              <w:left w:val="nil"/>
              <w:bottom w:val="single" w:sz="4" w:space="0" w:color="auto"/>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b/>
                <w:bCs/>
                <w:color w:val="000000"/>
                <w:kern w:val="0"/>
                <w:sz w:val="22"/>
                <w:szCs w:val="22"/>
              </w:rPr>
            </w:pPr>
            <w:r w:rsidRPr="00FE7FC8">
              <w:rPr>
                <w:rFonts w:eastAsia="Times New Roman" w:cs="Arial"/>
                <w:b/>
                <w:bCs/>
                <w:color w:val="000000"/>
                <w:kern w:val="0"/>
                <w:sz w:val="22"/>
                <w:szCs w:val="22"/>
              </w:rPr>
              <w:t>0</w:t>
            </w:r>
          </w:p>
        </w:tc>
        <w:tc>
          <w:tcPr>
            <w:tcW w:w="1276" w:type="dxa"/>
            <w:tcBorders>
              <w:top w:val="nil"/>
              <w:left w:val="nil"/>
              <w:bottom w:val="single" w:sz="4" w:space="0" w:color="auto"/>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b/>
                <w:bCs/>
                <w:color w:val="000000"/>
                <w:kern w:val="0"/>
                <w:sz w:val="22"/>
                <w:szCs w:val="22"/>
              </w:rPr>
            </w:pPr>
            <w:r w:rsidRPr="00FE7FC8">
              <w:rPr>
                <w:rFonts w:eastAsia="Times New Roman" w:cs="Arial"/>
                <w:b/>
                <w:bCs/>
                <w:color w:val="000000"/>
                <w:kern w:val="0"/>
                <w:sz w:val="22"/>
                <w:szCs w:val="22"/>
              </w:rPr>
              <w:t>5</w:t>
            </w:r>
          </w:p>
        </w:tc>
        <w:tc>
          <w:tcPr>
            <w:tcW w:w="1277" w:type="dxa"/>
            <w:tcBorders>
              <w:top w:val="nil"/>
              <w:left w:val="nil"/>
              <w:bottom w:val="single" w:sz="4" w:space="0" w:color="auto"/>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b/>
                <w:bCs/>
                <w:color w:val="000000"/>
                <w:kern w:val="0"/>
                <w:sz w:val="22"/>
                <w:szCs w:val="22"/>
              </w:rPr>
            </w:pPr>
            <w:r w:rsidRPr="00FE7FC8">
              <w:rPr>
                <w:rFonts w:eastAsia="Times New Roman" w:cs="Arial"/>
                <w:b/>
                <w:bCs/>
                <w:color w:val="000000"/>
                <w:kern w:val="0"/>
                <w:sz w:val="22"/>
                <w:szCs w:val="22"/>
              </w:rPr>
              <w:t>9</w:t>
            </w:r>
          </w:p>
        </w:tc>
        <w:tc>
          <w:tcPr>
            <w:tcW w:w="1276" w:type="dxa"/>
            <w:tcBorders>
              <w:top w:val="nil"/>
              <w:left w:val="nil"/>
              <w:bottom w:val="single" w:sz="4" w:space="0" w:color="auto"/>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b/>
                <w:bCs/>
                <w:color w:val="000000"/>
                <w:kern w:val="0"/>
                <w:sz w:val="22"/>
                <w:szCs w:val="22"/>
              </w:rPr>
            </w:pPr>
            <w:r w:rsidRPr="00FE7FC8">
              <w:rPr>
                <w:rFonts w:eastAsia="Times New Roman" w:cs="Arial"/>
                <w:b/>
                <w:bCs/>
                <w:color w:val="000000"/>
                <w:kern w:val="0"/>
                <w:sz w:val="22"/>
                <w:szCs w:val="22"/>
              </w:rPr>
              <w:t>20</w:t>
            </w:r>
          </w:p>
        </w:tc>
      </w:tr>
      <w:tr w:rsidR="00690607" w:rsidRPr="00FE7FC8" w:rsidTr="003E4A95">
        <w:trPr>
          <w:trHeight w:val="342"/>
          <w:jc w:val="center"/>
        </w:trPr>
        <w:tc>
          <w:tcPr>
            <w:tcW w:w="4253" w:type="dxa"/>
            <w:tcBorders>
              <w:left w:val="nil"/>
              <w:bottom w:val="nil"/>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b/>
                <w:bCs/>
                <w:color w:val="000000"/>
                <w:kern w:val="0"/>
                <w:sz w:val="22"/>
                <w:szCs w:val="22"/>
              </w:rPr>
            </w:pPr>
            <w:r w:rsidRPr="00FE7FC8">
              <w:rPr>
                <w:rFonts w:eastAsia="Times New Roman" w:cs="Arial"/>
                <w:b/>
                <w:bCs/>
                <w:color w:val="000000"/>
                <w:kern w:val="0"/>
                <w:sz w:val="22"/>
                <w:szCs w:val="22"/>
              </w:rPr>
              <w:t>Sobrevivência (%)</w:t>
            </w:r>
          </w:p>
        </w:tc>
        <w:tc>
          <w:tcPr>
            <w:tcW w:w="1417" w:type="dxa"/>
            <w:tcBorders>
              <w:left w:val="nil"/>
              <w:bottom w:val="nil"/>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color w:val="000000"/>
                <w:kern w:val="0"/>
                <w:sz w:val="22"/>
                <w:szCs w:val="22"/>
              </w:rPr>
            </w:pPr>
            <w:r w:rsidRPr="00FE7FC8">
              <w:rPr>
                <w:rFonts w:eastAsia="Times New Roman" w:cs="Arial"/>
                <w:color w:val="000000"/>
                <w:kern w:val="0"/>
                <w:sz w:val="22"/>
                <w:szCs w:val="22"/>
              </w:rPr>
              <w:t>100</w:t>
            </w:r>
          </w:p>
        </w:tc>
        <w:tc>
          <w:tcPr>
            <w:tcW w:w="1276" w:type="dxa"/>
            <w:tcBorders>
              <w:left w:val="nil"/>
              <w:bottom w:val="nil"/>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color w:val="000000"/>
                <w:kern w:val="0"/>
                <w:sz w:val="22"/>
                <w:szCs w:val="22"/>
              </w:rPr>
            </w:pPr>
            <w:r w:rsidRPr="00FE7FC8">
              <w:rPr>
                <w:rFonts w:eastAsia="Times New Roman" w:cs="Arial"/>
                <w:color w:val="000000"/>
                <w:kern w:val="0"/>
                <w:sz w:val="22"/>
                <w:szCs w:val="22"/>
              </w:rPr>
              <w:t>100</w:t>
            </w:r>
          </w:p>
        </w:tc>
        <w:tc>
          <w:tcPr>
            <w:tcW w:w="1277" w:type="dxa"/>
            <w:tcBorders>
              <w:left w:val="nil"/>
              <w:bottom w:val="nil"/>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color w:val="000000"/>
                <w:kern w:val="0"/>
                <w:sz w:val="22"/>
                <w:szCs w:val="22"/>
              </w:rPr>
            </w:pPr>
            <w:r w:rsidRPr="00FE7FC8">
              <w:rPr>
                <w:rFonts w:eastAsia="Times New Roman" w:cs="Arial"/>
                <w:color w:val="000000"/>
                <w:kern w:val="0"/>
                <w:sz w:val="22"/>
                <w:szCs w:val="22"/>
              </w:rPr>
              <w:t>100</w:t>
            </w:r>
          </w:p>
        </w:tc>
        <w:tc>
          <w:tcPr>
            <w:tcW w:w="1276" w:type="dxa"/>
            <w:tcBorders>
              <w:left w:val="nil"/>
              <w:bottom w:val="nil"/>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color w:val="000000"/>
                <w:kern w:val="0"/>
                <w:sz w:val="22"/>
                <w:szCs w:val="22"/>
              </w:rPr>
            </w:pPr>
            <w:r w:rsidRPr="00FE7FC8">
              <w:rPr>
                <w:rFonts w:eastAsia="Times New Roman" w:cs="Arial"/>
                <w:color w:val="000000"/>
                <w:kern w:val="0"/>
                <w:sz w:val="22"/>
                <w:szCs w:val="22"/>
              </w:rPr>
              <w:t>100</w:t>
            </w:r>
          </w:p>
        </w:tc>
      </w:tr>
      <w:tr w:rsidR="00690607" w:rsidRPr="00FE7FC8" w:rsidTr="003E4A95">
        <w:trPr>
          <w:trHeight w:val="342"/>
          <w:jc w:val="center"/>
        </w:trPr>
        <w:tc>
          <w:tcPr>
            <w:tcW w:w="4253" w:type="dxa"/>
            <w:tcBorders>
              <w:left w:val="nil"/>
              <w:bottom w:val="nil"/>
              <w:right w:val="nil"/>
            </w:tcBorders>
            <w:shd w:val="clear" w:color="auto" w:fill="auto"/>
            <w:noWrap/>
            <w:vAlign w:val="bottom"/>
            <w:hideMark/>
          </w:tcPr>
          <w:p w:rsidR="00690607" w:rsidRPr="00FE7FC8" w:rsidRDefault="00690607" w:rsidP="00FE7FC8">
            <w:pPr>
              <w:widowControl/>
              <w:suppressAutoHyphens w:val="0"/>
              <w:ind w:firstLine="0"/>
              <w:jc w:val="center"/>
              <w:rPr>
                <w:rFonts w:eastAsia="Times New Roman" w:cs="Arial"/>
                <w:b/>
                <w:bCs/>
                <w:color w:val="000000"/>
                <w:kern w:val="0"/>
                <w:sz w:val="22"/>
                <w:szCs w:val="22"/>
              </w:rPr>
            </w:pPr>
            <w:r>
              <w:rPr>
                <w:rFonts w:eastAsia="Times New Roman" w:cs="Arial"/>
                <w:b/>
                <w:bCs/>
                <w:color w:val="000000"/>
                <w:kern w:val="0"/>
                <w:sz w:val="22"/>
                <w:szCs w:val="22"/>
              </w:rPr>
              <w:t>Peso final (mg)</w:t>
            </w:r>
          </w:p>
        </w:tc>
        <w:tc>
          <w:tcPr>
            <w:tcW w:w="1417" w:type="dxa"/>
            <w:tcBorders>
              <w:left w:val="nil"/>
              <w:bottom w:val="nil"/>
              <w:right w:val="nil"/>
            </w:tcBorders>
            <w:shd w:val="clear" w:color="auto" w:fill="auto"/>
            <w:noWrap/>
            <w:vAlign w:val="bottom"/>
            <w:hideMark/>
          </w:tcPr>
          <w:p w:rsidR="00690607" w:rsidRPr="00FE7FC8" w:rsidRDefault="00690607" w:rsidP="00FE7FC8">
            <w:pPr>
              <w:widowControl/>
              <w:suppressAutoHyphens w:val="0"/>
              <w:ind w:firstLine="0"/>
              <w:jc w:val="center"/>
              <w:rPr>
                <w:rFonts w:eastAsia="Times New Roman" w:cs="Arial"/>
                <w:color w:val="000000"/>
                <w:kern w:val="0"/>
                <w:sz w:val="22"/>
                <w:szCs w:val="22"/>
              </w:rPr>
            </w:pPr>
            <w:r w:rsidRPr="00690607">
              <w:rPr>
                <w:rFonts w:eastAsia="Times New Roman" w:cs="Arial"/>
                <w:bCs/>
                <w:color w:val="000000"/>
                <w:kern w:val="0"/>
                <w:sz w:val="22"/>
                <w:szCs w:val="22"/>
              </w:rPr>
              <w:t>20</w:t>
            </w:r>
            <w:r w:rsidR="003E4A95">
              <w:rPr>
                <w:rFonts w:eastAsia="Times New Roman" w:cs="Arial"/>
                <w:bCs/>
                <w:color w:val="000000"/>
                <w:kern w:val="0"/>
                <w:sz w:val="22"/>
                <w:szCs w:val="22"/>
              </w:rPr>
              <w:t>.0</w:t>
            </w:r>
            <w:r w:rsidRPr="00690607">
              <w:rPr>
                <w:rFonts w:eastAsia="Times New Roman" w:cs="Arial"/>
                <w:bCs/>
                <w:color w:val="000000"/>
                <w:kern w:val="0"/>
                <w:sz w:val="22"/>
                <w:szCs w:val="22"/>
              </w:rPr>
              <w:t xml:space="preserve"> </w:t>
            </w:r>
            <w:r w:rsidRPr="00FE7FC8">
              <w:rPr>
                <w:rFonts w:eastAsia="Times New Roman" w:cs="Arial"/>
                <w:color w:val="000000"/>
                <w:kern w:val="0"/>
                <w:sz w:val="22"/>
                <w:szCs w:val="22"/>
              </w:rPr>
              <w:t>±</w:t>
            </w:r>
            <w:r w:rsidRPr="00690607">
              <w:rPr>
                <w:rFonts w:eastAsia="Times New Roman" w:cs="Arial"/>
                <w:color w:val="000000"/>
                <w:kern w:val="0"/>
                <w:sz w:val="22"/>
                <w:szCs w:val="22"/>
              </w:rPr>
              <w:t xml:space="preserve"> 1</w:t>
            </w:r>
            <w:r w:rsidR="003E4A95">
              <w:rPr>
                <w:rFonts w:eastAsia="Times New Roman" w:cs="Arial"/>
                <w:color w:val="000000"/>
                <w:kern w:val="0"/>
                <w:sz w:val="22"/>
                <w:szCs w:val="22"/>
              </w:rPr>
              <w:t>.0</w:t>
            </w:r>
          </w:p>
        </w:tc>
        <w:tc>
          <w:tcPr>
            <w:tcW w:w="1276" w:type="dxa"/>
            <w:tcBorders>
              <w:left w:val="nil"/>
              <w:bottom w:val="nil"/>
              <w:right w:val="nil"/>
            </w:tcBorders>
            <w:shd w:val="clear" w:color="auto" w:fill="auto"/>
            <w:noWrap/>
            <w:vAlign w:val="bottom"/>
            <w:hideMark/>
          </w:tcPr>
          <w:p w:rsidR="00690607" w:rsidRPr="00FE7FC8" w:rsidRDefault="00690607" w:rsidP="00FE7FC8">
            <w:pPr>
              <w:widowControl/>
              <w:suppressAutoHyphens w:val="0"/>
              <w:ind w:firstLine="0"/>
              <w:jc w:val="center"/>
              <w:rPr>
                <w:rFonts w:eastAsia="Times New Roman" w:cs="Arial"/>
                <w:color w:val="000000"/>
                <w:kern w:val="0"/>
                <w:sz w:val="22"/>
                <w:szCs w:val="22"/>
              </w:rPr>
            </w:pPr>
            <w:r w:rsidRPr="00690607">
              <w:rPr>
                <w:rFonts w:eastAsia="Times New Roman" w:cs="Arial"/>
                <w:bCs/>
                <w:color w:val="000000"/>
                <w:kern w:val="0"/>
                <w:sz w:val="22"/>
                <w:szCs w:val="22"/>
              </w:rPr>
              <w:t xml:space="preserve">20.4 </w:t>
            </w:r>
            <w:r w:rsidRPr="00FE7FC8">
              <w:rPr>
                <w:rFonts w:eastAsia="Times New Roman" w:cs="Arial"/>
                <w:color w:val="000000"/>
                <w:kern w:val="0"/>
                <w:sz w:val="22"/>
                <w:szCs w:val="22"/>
              </w:rPr>
              <w:t>±</w:t>
            </w:r>
            <w:r w:rsidRPr="00690607">
              <w:rPr>
                <w:rFonts w:eastAsia="Times New Roman" w:cs="Arial"/>
                <w:color w:val="000000"/>
                <w:kern w:val="0"/>
                <w:sz w:val="22"/>
                <w:szCs w:val="22"/>
              </w:rPr>
              <w:t xml:space="preserve"> 1.2</w:t>
            </w:r>
          </w:p>
        </w:tc>
        <w:tc>
          <w:tcPr>
            <w:tcW w:w="1277" w:type="dxa"/>
            <w:tcBorders>
              <w:left w:val="nil"/>
              <w:bottom w:val="nil"/>
              <w:right w:val="nil"/>
            </w:tcBorders>
            <w:shd w:val="clear" w:color="auto" w:fill="auto"/>
            <w:noWrap/>
            <w:vAlign w:val="bottom"/>
            <w:hideMark/>
          </w:tcPr>
          <w:p w:rsidR="00690607" w:rsidRPr="00FE7FC8" w:rsidRDefault="00690607" w:rsidP="00FE7FC8">
            <w:pPr>
              <w:widowControl/>
              <w:suppressAutoHyphens w:val="0"/>
              <w:ind w:firstLine="0"/>
              <w:jc w:val="center"/>
              <w:rPr>
                <w:rFonts w:eastAsia="Times New Roman" w:cs="Arial"/>
                <w:color w:val="000000"/>
                <w:kern w:val="0"/>
                <w:sz w:val="22"/>
                <w:szCs w:val="22"/>
              </w:rPr>
            </w:pPr>
            <w:r>
              <w:rPr>
                <w:rFonts w:eastAsia="Times New Roman" w:cs="Arial"/>
                <w:bCs/>
                <w:color w:val="000000"/>
                <w:kern w:val="0"/>
                <w:sz w:val="22"/>
                <w:szCs w:val="22"/>
              </w:rPr>
              <w:t xml:space="preserve">21.5 </w:t>
            </w:r>
            <w:r w:rsidRPr="00FE7FC8">
              <w:rPr>
                <w:rFonts w:eastAsia="Times New Roman" w:cs="Arial"/>
                <w:color w:val="000000"/>
                <w:kern w:val="0"/>
                <w:sz w:val="22"/>
                <w:szCs w:val="22"/>
              </w:rPr>
              <w:t>±</w:t>
            </w:r>
            <w:r>
              <w:rPr>
                <w:rFonts w:eastAsia="Times New Roman" w:cs="Arial"/>
                <w:color w:val="000000"/>
                <w:kern w:val="0"/>
                <w:sz w:val="22"/>
                <w:szCs w:val="22"/>
              </w:rPr>
              <w:t xml:space="preserve"> 1.2</w:t>
            </w:r>
          </w:p>
        </w:tc>
        <w:tc>
          <w:tcPr>
            <w:tcW w:w="1276" w:type="dxa"/>
            <w:tcBorders>
              <w:left w:val="nil"/>
              <w:bottom w:val="nil"/>
              <w:right w:val="nil"/>
            </w:tcBorders>
            <w:shd w:val="clear" w:color="auto" w:fill="auto"/>
            <w:noWrap/>
            <w:vAlign w:val="bottom"/>
            <w:hideMark/>
          </w:tcPr>
          <w:p w:rsidR="00690607" w:rsidRPr="00FE7FC8" w:rsidRDefault="00690607" w:rsidP="00FE7FC8">
            <w:pPr>
              <w:widowControl/>
              <w:suppressAutoHyphens w:val="0"/>
              <w:ind w:firstLine="0"/>
              <w:jc w:val="center"/>
              <w:rPr>
                <w:rFonts w:eastAsia="Times New Roman" w:cs="Arial"/>
                <w:color w:val="000000"/>
                <w:kern w:val="0"/>
                <w:sz w:val="22"/>
                <w:szCs w:val="22"/>
              </w:rPr>
            </w:pPr>
            <w:r>
              <w:rPr>
                <w:rFonts w:eastAsia="Times New Roman" w:cs="Arial"/>
                <w:bCs/>
                <w:color w:val="000000"/>
                <w:kern w:val="0"/>
                <w:sz w:val="22"/>
                <w:szCs w:val="22"/>
              </w:rPr>
              <w:t xml:space="preserve">18.9 </w:t>
            </w:r>
            <w:r w:rsidRPr="00FE7FC8">
              <w:rPr>
                <w:rFonts w:eastAsia="Times New Roman" w:cs="Arial"/>
                <w:color w:val="000000"/>
                <w:kern w:val="0"/>
                <w:sz w:val="22"/>
                <w:szCs w:val="22"/>
              </w:rPr>
              <w:t>±</w:t>
            </w:r>
            <w:r>
              <w:rPr>
                <w:rFonts w:eastAsia="Times New Roman" w:cs="Arial"/>
                <w:color w:val="000000"/>
                <w:kern w:val="0"/>
                <w:sz w:val="22"/>
                <w:szCs w:val="22"/>
              </w:rPr>
              <w:t xml:space="preserve"> 0.8</w:t>
            </w:r>
          </w:p>
        </w:tc>
      </w:tr>
      <w:tr w:rsidR="00690607" w:rsidRPr="00FE7FC8" w:rsidTr="003E4A95">
        <w:trPr>
          <w:trHeight w:val="342"/>
          <w:jc w:val="center"/>
        </w:trPr>
        <w:tc>
          <w:tcPr>
            <w:tcW w:w="4253" w:type="dxa"/>
            <w:tcBorders>
              <w:top w:val="nil"/>
              <w:left w:val="nil"/>
              <w:bottom w:val="nil"/>
              <w:right w:val="nil"/>
            </w:tcBorders>
            <w:shd w:val="clear" w:color="auto" w:fill="auto"/>
            <w:noWrap/>
            <w:vAlign w:val="bottom"/>
            <w:hideMark/>
          </w:tcPr>
          <w:p w:rsidR="00FE7FC8" w:rsidRPr="00FE7FC8" w:rsidRDefault="005A7A4B" w:rsidP="00FE7FC8">
            <w:pPr>
              <w:widowControl/>
              <w:suppressAutoHyphens w:val="0"/>
              <w:ind w:firstLine="0"/>
              <w:jc w:val="center"/>
              <w:rPr>
                <w:rFonts w:eastAsia="Times New Roman" w:cs="Arial"/>
                <w:b/>
                <w:bCs/>
                <w:color w:val="000000"/>
                <w:kern w:val="0"/>
                <w:sz w:val="22"/>
                <w:szCs w:val="22"/>
              </w:rPr>
            </w:pPr>
            <w:r>
              <w:rPr>
                <w:rFonts w:eastAsia="Times New Roman" w:cs="Arial"/>
                <w:b/>
                <w:bCs/>
                <w:color w:val="000000"/>
                <w:kern w:val="0"/>
                <w:sz w:val="22"/>
                <w:szCs w:val="22"/>
              </w:rPr>
              <w:t>Taxa de crescimento e</w:t>
            </w:r>
            <w:r w:rsidR="00FE7FC8" w:rsidRPr="00FE7FC8">
              <w:rPr>
                <w:rFonts w:eastAsia="Times New Roman" w:cs="Arial"/>
                <w:b/>
                <w:bCs/>
                <w:color w:val="000000"/>
                <w:kern w:val="0"/>
                <w:sz w:val="22"/>
                <w:szCs w:val="22"/>
              </w:rPr>
              <w:t>specífico (%/dia)</w:t>
            </w:r>
          </w:p>
        </w:tc>
        <w:tc>
          <w:tcPr>
            <w:tcW w:w="1417" w:type="dxa"/>
            <w:tcBorders>
              <w:top w:val="nil"/>
              <w:left w:val="nil"/>
              <w:bottom w:val="nil"/>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color w:val="000000"/>
                <w:kern w:val="0"/>
                <w:sz w:val="22"/>
                <w:szCs w:val="22"/>
              </w:rPr>
            </w:pPr>
            <w:r w:rsidRPr="00FE7FC8">
              <w:rPr>
                <w:rFonts w:eastAsia="Times New Roman" w:cs="Arial"/>
                <w:color w:val="000000"/>
                <w:kern w:val="0"/>
                <w:sz w:val="22"/>
                <w:szCs w:val="22"/>
              </w:rPr>
              <w:t>4.5 ± 0.5</w:t>
            </w:r>
          </w:p>
        </w:tc>
        <w:tc>
          <w:tcPr>
            <w:tcW w:w="1276" w:type="dxa"/>
            <w:tcBorders>
              <w:top w:val="nil"/>
              <w:left w:val="nil"/>
              <w:bottom w:val="nil"/>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color w:val="000000"/>
                <w:kern w:val="0"/>
                <w:sz w:val="22"/>
                <w:szCs w:val="22"/>
              </w:rPr>
            </w:pPr>
            <w:r w:rsidRPr="00FE7FC8">
              <w:rPr>
                <w:rFonts w:eastAsia="Times New Roman" w:cs="Arial"/>
                <w:color w:val="000000"/>
                <w:kern w:val="0"/>
                <w:sz w:val="22"/>
                <w:szCs w:val="22"/>
              </w:rPr>
              <w:t>4.6 ± 0.6</w:t>
            </w:r>
          </w:p>
        </w:tc>
        <w:tc>
          <w:tcPr>
            <w:tcW w:w="1277" w:type="dxa"/>
            <w:tcBorders>
              <w:top w:val="nil"/>
              <w:left w:val="nil"/>
              <w:bottom w:val="nil"/>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color w:val="000000"/>
                <w:kern w:val="0"/>
                <w:sz w:val="22"/>
                <w:szCs w:val="22"/>
              </w:rPr>
            </w:pPr>
            <w:r w:rsidRPr="00FE7FC8">
              <w:rPr>
                <w:rFonts w:eastAsia="Times New Roman" w:cs="Arial"/>
                <w:color w:val="000000"/>
                <w:kern w:val="0"/>
                <w:sz w:val="22"/>
                <w:szCs w:val="22"/>
              </w:rPr>
              <w:t>4.7 ± 0.5</w:t>
            </w:r>
          </w:p>
        </w:tc>
        <w:tc>
          <w:tcPr>
            <w:tcW w:w="1276" w:type="dxa"/>
            <w:tcBorders>
              <w:top w:val="nil"/>
              <w:left w:val="nil"/>
              <w:bottom w:val="nil"/>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color w:val="000000"/>
                <w:kern w:val="0"/>
                <w:sz w:val="22"/>
                <w:szCs w:val="22"/>
              </w:rPr>
            </w:pPr>
            <w:r w:rsidRPr="00FE7FC8">
              <w:rPr>
                <w:rFonts w:eastAsia="Times New Roman" w:cs="Arial"/>
                <w:color w:val="000000"/>
                <w:kern w:val="0"/>
                <w:sz w:val="22"/>
                <w:szCs w:val="22"/>
              </w:rPr>
              <w:t>4.3 ± 0.4</w:t>
            </w:r>
          </w:p>
        </w:tc>
      </w:tr>
      <w:tr w:rsidR="00690607" w:rsidRPr="00FE7FC8" w:rsidTr="003E4A95">
        <w:trPr>
          <w:trHeight w:val="342"/>
          <w:jc w:val="center"/>
        </w:trPr>
        <w:tc>
          <w:tcPr>
            <w:tcW w:w="4253" w:type="dxa"/>
            <w:tcBorders>
              <w:top w:val="nil"/>
              <w:left w:val="nil"/>
              <w:bottom w:val="nil"/>
              <w:right w:val="nil"/>
            </w:tcBorders>
            <w:shd w:val="clear" w:color="auto" w:fill="auto"/>
            <w:noWrap/>
            <w:vAlign w:val="bottom"/>
            <w:hideMark/>
          </w:tcPr>
          <w:p w:rsidR="00FE7FC8" w:rsidRPr="00FE7FC8" w:rsidRDefault="005A7A4B" w:rsidP="00FE7FC8">
            <w:pPr>
              <w:widowControl/>
              <w:suppressAutoHyphens w:val="0"/>
              <w:ind w:firstLine="0"/>
              <w:jc w:val="center"/>
              <w:rPr>
                <w:rFonts w:eastAsia="Times New Roman" w:cs="Arial"/>
                <w:b/>
                <w:bCs/>
                <w:color w:val="000000"/>
                <w:kern w:val="0"/>
                <w:sz w:val="22"/>
                <w:szCs w:val="22"/>
              </w:rPr>
            </w:pPr>
            <w:r>
              <w:rPr>
                <w:rFonts w:eastAsia="Times New Roman" w:cs="Arial"/>
                <w:b/>
                <w:bCs/>
                <w:color w:val="000000"/>
                <w:kern w:val="0"/>
                <w:sz w:val="22"/>
                <w:szCs w:val="22"/>
              </w:rPr>
              <w:t>Conversão alimentar a</w:t>
            </w:r>
            <w:r w:rsidR="00FE7FC8" w:rsidRPr="00FE7FC8">
              <w:rPr>
                <w:rFonts w:eastAsia="Times New Roman" w:cs="Arial"/>
                <w:b/>
                <w:bCs/>
                <w:color w:val="000000"/>
                <w:kern w:val="0"/>
                <w:sz w:val="22"/>
                <w:szCs w:val="22"/>
              </w:rPr>
              <w:t>parente</w:t>
            </w:r>
          </w:p>
        </w:tc>
        <w:tc>
          <w:tcPr>
            <w:tcW w:w="1417" w:type="dxa"/>
            <w:tcBorders>
              <w:top w:val="nil"/>
              <w:left w:val="nil"/>
              <w:bottom w:val="nil"/>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color w:val="000000"/>
                <w:kern w:val="0"/>
                <w:sz w:val="22"/>
                <w:szCs w:val="22"/>
              </w:rPr>
            </w:pPr>
            <w:r w:rsidRPr="00FE7FC8">
              <w:rPr>
                <w:rFonts w:eastAsia="Times New Roman" w:cs="Arial"/>
                <w:color w:val="000000"/>
                <w:kern w:val="0"/>
                <w:sz w:val="22"/>
                <w:szCs w:val="22"/>
              </w:rPr>
              <w:t>4.6 ± 1.0</w:t>
            </w:r>
          </w:p>
        </w:tc>
        <w:tc>
          <w:tcPr>
            <w:tcW w:w="1276" w:type="dxa"/>
            <w:tcBorders>
              <w:top w:val="nil"/>
              <w:left w:val="nil"/>
              <w:bottom w:val="nil"/>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color w:val="000000"/>
                <w:kern w:val="0"/>
                <w:sz w:val="22"/>
                <w:szCs w:val="22"/>
              </w:rPr>
            </w:pPr>
            <w:r w:rsidRPr="00FE7FC8">
              <w:rPr>
                <w:rFonts w:eastAsia="Times New Roman" w:cs="Arial"/>
                <w:color w:val="000000"/>
                <w:kern w:val="0"/>
                <w:sz w:val="22"/>
                <w:szCs w:val="22"/>
              </w:rPr>
              <w:t>4.7 ± 1.3</w:t>
            </w:r>
          </w:p>
        </w:tc>
        <w:tc>
          <w:tcPr>
            <w:tcW w:w="1277" w:type="dxa"/>
            <w:tcBorders>
              <w:top w:val="nil"/>
              <w:left w:val="nil"/>
              <w:bottom w:val="nil"/>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color w:val="000000"/>
                <w:kern w:val="0"/>
                <w:sz w:val="22"/>
                <w:szCs w:val="22"/>
              </w:rPr>
            </w:pPr>
            <w:r w:rsidRPr="00FE7FC8">
              <w:rPr>
                <w:rFonts w:eastAsia="Times New Roman" w:cs="Arial"/>
                <w:color w:val="000000"/>
                <w:kern w:val="0"/>
                <w:sz w:val="22"/>
                <w:szCs w:val="22"/>
              </w:rPr>
              <w:t>4.6 ± 1.2</w:t>
            </w:r>
          </w:p>
        </w:tc>
        <w:tc>
          <w:tcPr>
            <w:tcW w:w="1276" w:type="dxa"/>
            <w:tcBorders>
              <w:top w:val="nil"/>
              <w:left w:val="nil"/>
              <w:bottom w:val="nil"/>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color w:val="000000"/>
                <w:kern w:val="0"/>
                <w:sz w:val="22"/>
                <w:szCs w:val="22"/>
              </w:rPr>
            </w:pPr>
            <w:r w:rsidRPr="00FE7FC8">
              <w:rPr>
                <w:rFonts w:eastAsia="Times New Roman" w:cs="Arial"/>
                <w:color w:val="000000"/>
                <w:kern w:val="0"/>
                <w:sz w:val="22"/>
                <w:szCs w:val="22"/>
              </w:rPr>
              <w:t>5.0 ± 1.1</w:t>
            </w:r>
          </w:p>
        </w:tc>
      </w:tr>
      <w:tr w:rsidR="00690607" w:rsidRPr="00FE7FC8" w:rsidTr="003E4A95">
        <w:trPr>
          <w:trHeight w:val="342"/>
          <w:jc w:val="center"/>
        </w:trPr>
        <w:tc>
          <w:tcPr>
            <w:tcW w:w="4253" w:type="dxa"/>
            <w:tcBorders>
              <w:top w:val="nil"/>
              <w:left w:val="nil"/>
              <w:bottom w:val="nil"/>
              <w:right w:val="nil"/>
            </w:tcBorders>
            <w:shd w:val="clear" w:color="auto" w:fill="auto"/>
            <w:noWrap/>
            <w:vAlign w:val="bottom"/>
            <w:hideMark/>
          </w:tcPr>
          <w:p w:rsidR="00FE7FC8" w:rsidRPr="00FE7FC8" w:rsidRDefault="005A7A4B" w:rsidP="00FE7FC8">
            <w:pPr>
              <w:widowControl/>
              <w:suppressAutoHyphens w:val="0"/>
              <w:ind w:firstLine="0"/>
              <w:jc w:val="center"/>
              <w:rPr>
                <w:rFonts w:eastAsia="Times New Roman" w:cs="Arial"/>
                <w:b/>
                <w:bCs/>
                <w:color w:val="000000"/>
                <w:kern w:val="0"/>
                <w:sz w:val="22"/>
                <w:szCs w:val="22"/>
              </w:rPr>
            </w:pPr>
            <w:r>
              <w:rPr>
                <w:rFonts w:eastAsia="Times New Roman" w:cs="Arial"/>
                <w:b/>
                <w:bCs/>
                <w:color w:val="000000"/>
                <w:kern w:val="0"/>
                <w:sz w:val="22"/>
                <w:szCs w:val="22"/>
              </w:rPr>
              <w:t>Fator de c</w:t>
            </w:r>
            <w:r w:rsidR="00FE7FC8" w:rsidRPr="00FE7FC8">
              <w:rPr>
                <w:rFonts w:eastAsia="Times New Roman" w:cs="Arial"/>
                <w:b/>
                <w:bCs/>
                <w:color w:val="000000"/>
                <w:kern w:val="0"/>
                <w:sz w:val="22"/>
                <w:szCs w:val="22"/>
              </w:rPr>
              <w:t>ondição de Fulton</w:t>
            </w:r>
          </w:p>
        </w:tc>
        <w:tc>
          <w:tcPr>
            <w:tcW w:w="1417" w:type="dxa"/>
            <w:tcBorders>
              <w:top w:val="nil"/>
              <w:left w:val="nil"/>
              <w:bottom w:val="nil"/>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color w:val="000000"/>
                <w:kern w:val="0"/>
                <w:sz w:val="22"/>
                <w:szCs w:val="22"/>
              </w:rPr>
            </w:pPr>
            <w:r w:rsidRPr="00FE7FC8">
              <w:rPr>
                <w:rFonts w:eastAsia="Times New Roman" w:cs="Arial"/>
                <w:color w:val="000000"/>
                <w:kern w:val="0"/>
                <w:sz w:val="22"/>
                <w:szCs w:val="22"/>
              </w:rPr>
              <w:t>1.8 ± 0.</w:t>
            </w:r>
            <w:r w:rsidR="003E4A95">
              <w:rPr>
                <w:rFonts w:eastAsia="Times New Roman" w:cs="Arial"/>
                <w:color w:val="000000"/>
                <w:kern w:val="0"/>
                <w:sz w:val="22"/>
                <w:szCs w:val="22"/>
              </w:rPr>
              <w:t>1</w:t>
            </w:r>
          </w:p>
        </w:tc>
        <w:tc>
          <w:tcPr>
            <w:tcW w:w="1276" w:type="dxa"/>
            <w:tcBorders>
              <w:top w:val="nil"/>
              <w:left w:val="nil"/>
              <w:bottom w:val="nil"/>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color w:val="000000"/>
                <w:kern w:val="0"/>
                <w:sz w:val="22"/>
                <w:szCs w:val="22"/>
              </w:rPr>
            </w:pPr>
            <w:r w:rsidRPr="00FE7FC8">
              <w:rPr>
                <w:rFonts w:eastAsia="Times New Roman" w:cs="Arial"/>
                <w:color w:val="000000"/>
                <w:kern w:val="0"/>
                <w:sz w:val="22"/>
                <w:szCs w:val="22"/>
              </w:rPr>
              <w:t>1.8 ± 0.1</w:t>
            </w:r>
          </w:p>
        </w:tc>
        <w:tc>
          <w:tcPr>
            <w:tcW w:w="1277" w:type="dxa"/>
            <w:tcBorders>
              <w:top w:val="nil"/>
              <w:left w:val="nil"/>
              <w:bottom w:val="nil"/>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color w:val="000000"/>
                <w:kern w:val="0"/>
                <w:sz w:val="22"/>
                <w:szCs w:val="22"/>
              </w:rPr>
            </w:pPr>
            <w:r w:rsidRPr="00FE7FC8">
              <w:rPr>
                <w:rFonts w:eastAsia="Times New Roman" w:cs="Arial"/>
                <w:color w:val="000000"/>
                <w:kern w:val="0"/>
                <w:sz w:val="22"/>
                <w:szCs w:val="22"/>
              </w:rPr>
              <w:t>1.9 ± 0.1</w:t>
            </w:r>
          </w:p>
        </w:tc>
        <w:tc>
          <w:tcPr>
            <w:tcW w:w="1276" w:type="dxa"/>
            <w:tcBorders>
              <w:top w:val="nil"/>
              <w:left w:val="nil"/>
              <w:bottom w:val="nil"/>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color w:val="000000"/>
                <w:kern w:val="0"/>
                <w:sz w:val="22"/>
                <w:szCs w:val="22"/>
              </w:rPr>
            </w:pPr>
            <w:r w:rsidRPr="00FE7FC8">
              <w:rPr>
                <w:rFonts w:eastAsia="Times New Roman" w:cs="Arial"/>
                <w:color w:val="000000"/>
                <w:kern w:val="0"/>
                <w:sz w:val="22"/>
                <w:szCs w:val="22"/>
              </w:rPr>
              <w:t>1.9 ± 0.08</w:t>
            </w:r>
          </w:p>
        </w:tc>
      </w:tr>
      <w:tr w:rsidR="00690607" w:rsidRPr="00FE7FC8" w:rsidTr="003E4A95">
        <w:trPr>
          <w:trHeight w:val="407"/>
          <w:jc w:val="center"/>
        </w:trPr>
        <w:tc>
          <w:tcPr>
            <w:tcW w:w="4253" w:type="dxa"/>
            <w:tcBorders>
              <w:top w:val="nil"/>
              <w:left w:val="nil"/>
              <w:bottom w:val="single" w:sz="4" w:space="0" w:color="auto"/>
              <w:right w:val="nil"/>
            </w:tcBorders>
            <w:shd w:val="clear" w:color="auto" w:fill="auto"/>
            <w:noWrap/>
            <w:vAlign w:val="bottom"/>
            <w:hideMark/>
          </w:tcPr>
          <w:p w:rsidR="00FE7FC8" w:rsidRPr="00FE7FC8" w:rsidRDefault="005A7A4B" w:rsidP="00FE7FC8">
            <w:pPr>
              <w:widowControl/>
              <w:suppressAutoHyphens w:val="0"/>
              <w:ind w:firstLine="0"/>
              <w:jc w:val="center"/>
              <w:rPr>
                <w:rFonts w:eastAsia="Times New Roman" w:cs="Arial"/>
                <w:b/>
                <w:bCs/>
                <w:color w:val="000000"/>
                <w:kern w:val="0"/>
                <w:sz w:val="22"/>
                <w:szCs w:val="22"/>
              </w:rPr>
            </w:pPr>
            <w:r>
              <w:rPr>
                <w:rFonts w:eastAsia="Times New Roman" w:cs="Arial"/>
                <w:b/>
                <w:bCs/>
                <w:color w:val="000000"/>
                <w:kern w:val="0"/>
                <w:sz w:val="22"/>
                <w:szCs w:val="22"/>
              </w:rPr>
              <w:t>Consumo de o</w:t>
            </w:r>
            <w:r w:rsidR="00FE7FC8" w:rsidRPr="00FE7FC8">
              <w:rPr>
                <w:rFonts w:eastAsia="Times New Roman" w:cs="Arial"/>
                <w:b/>
                <w:bCs/>
                <w:color w:val="000000"/>
                <w:kern w:val="0"/>
                <w:sz w:val="22"/>
                <w:szCs w:val="22"/>
              </w:rPr>
              <w:t>xigênio (mg O</w:t>
            </w:r>
            <w:r w:rsidR="00FE7FC8" w:rsidRPr="00FE7FC8">
              <w:rPr>
                <w:rFonts w:eastAsia="Times New Roman" w:cs="Arial"/>
                <w:b/>
                <w:bCs/>
                <w:color w:val="000000"/>
                <w:kern w:val="0"/>
                <w:sz w:val="22"/>
                <w:szCs w:val="22"/>
                <w:vertAlign w:val="subscript"/>
              </w:rPr>
              <w:t>2</w:t>
            </w:r>
            <w:r w:rsidR="00FE7FC8" w:rsidRPr="00FE7FC8">
              <w:rPr>
                <w:rFonts w:eastAsia="Times New Roman" w:cs="Arial"/>
                <w:b/>
                <w:bCs/>
                <w:color w:val="000000"/>
                <w:kern w:val="0"/>
                <w:sz w:val="22"/>
                <w:szCs w:val="22"/>
              </w:rPr>
              <w:t>/g/h)</w:t>
            </w:r>
          </w:p>
        </w:tc>
        <w:tc>
          <w:tcPr>
            <w:tcW w:w="1417" w:type="dxa"/>
            <w:tcBorders>
              <w:top w:val="nil"/>
              <w:left w:val="nil"/>
              <w:bottom w:val="single" w:sz="4" w:space="0" w:color="auto"/>
              <w:right w:val="nil"/>
            </w:tcBorders>
            <w:shd w:val="clear" w:color="auto" w:fill="auto"/>
            <w:noWrap/>
            <w:vAlign w:val="bottom"/>
            <w:hideMark/>
          </w:tcPr>
          <w:p w:rsidR="00FE7FC8" w:rsidRPr="00FE7FC8" w:rsidRDefault="005109EE" w:rsidP="00FE7FC8">
            <w:pPr>
              <w:widowControl/>
              <w:suppressAutoHyphens w:val="0"/>
              <w:ind w:firstLine="0"/>
              <w:jc w:val="center"/>
              <w:rPr>
                <w:rFonts w:eastAsia="Times New Roman" w:cs="Arial"/>
                <w:color w:val="000000"/>
                <w:kern w:val="0"/>
                <w:sz w:val="22"/>
                <w:szCs w:val="22"/>
              </w:rPr>
            </w:pPr>
            <w:r>
              <w:rPr>
                <w:rFonts w:eastAsia="Times New Roman" w:cs="Arial"/>
                <w:color w:val="000000"/>
                <w:kern w:val="0"/>
                <w:sz w:val="22"/>
                <w:szCs w:val="22"/>
              </w:rPr>
              <w:t>1.2 ± 0.1</w:t>
            </w:r>
            <w:r w:rsidRPr="005109EE">
              <w:rPr>
                <w:rFonts w:eastAsia="Times New Roman" w:cs="Arial"/>
                <w:color w:val="000000"/>
                <w:kern w:val="0"/>
                <w:sz w:val="22"/>
                <w:szCs w:val="22"/>
                <w:vertAlign w:val="superscript"/>
              </w:rPr>
              <w:t>c</w:t>
            </w:r>
          </w:p>
        </w:tc>
        <w:tc>
          <w:tcPr>
            <w:tcW w:w="1276" w:type="dxa"/>
            <w:tcBorders>
              <w:top w:val="nil"/>
              <w:left w:val="nil"/>
              <w:bottom w:val="single" w:sz="4" w:space="0" w:color="auto"/>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color w:val="000000"/>
                <w:kern w:val="0"/>
                <w:sz w:val="22"/>
                <w:szCs w:val="22"/>
              </w:rPr>
            </w:pPr>
            <w:r w:rsidRPr="00FE7FC8">
              <w:rPr>
                <w:rFonts w:eastAsia="Times New Roman" w:cs="Arial"/>
                <w:color w:val="000000"/>
                <w:kern w:val="0"/>
                <w:sz w:val="22"/>
                <w:szCs w:val="22"/>
              </w:rPr>
              <w:t>1.6 ± 0.2</w:t>
            </w:r>
            <w:r w:rsidR="005109EE" w:rsidRPr="005109EE">
              <w:rPr>
                <w:rFonts w:eastAsia="Times New Roman" w:cs="Arial"/>
                <w:color w:val="000000"/>
                <w:kern w:val="0"/>
                <w:sz w:val="22"/>
                <w:szCs w:val="22"/>
                <w:vertAlign w:val="superscript"/>
              </w:rPr>
              <w:t>b</w:t>
            </w:r>
            <w:r w:rsidR="005109EE">
              <w:rPr>
                <w:rFonts w:eastAsia="Times New Roman" w:cs="Arial"/>
                <w:color w:val="000000"/>
                <w:kern w:val="0"/>
                <w:sz w:val="22"/>
                <w:szCs w:val="22"/>
                <w:vertAlign w:val="superscript"/>
              </w:rPr>
              <w:t>c</w:t>
            </w:r>
          </w:p>
        </w:tc>
        <w:tc>
          <w:tcPr>
            <w:tcW w:w="1277" w:type="dxa"/>
            <w:tcBorders>
              <w:top w:val="nil"/>
              <w:left w:val="nil"/>
              <w:bottom w:val="single" w:sz="4" w:space="0" w:color="auto"/>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color w:val="000000"/>
                <w:kern w:val="0"/>
                <w:sz w:val="22"/>
                <w:szCs w:val="22"/>
              </w:rPr>
            </w:pPr>
            <w:r w:rsidRPr="00FE7FC8">
              <w:rPr>
                <w:rFonts w:eastAsia="Times New Roman" w:cs="Arial"/>
                <w:color w:val="000000"/>
                <w:kern w:val="0"/>
                <w:sz w:val="22"/>
                <w:szCs w:val="22"/>
              </w:rPr>
              <w:t>2</w:t>
            </w:r>
            <w:r w:rsidR="003E4A95">
              <w:rPr>
                <w:rFonts w:eastAsia="Times New Roman" w:cs="Arial"/>
                <w:color w:val="000000"/>
                <w:kern w:val="0"/>
                <w:sz w:val="22"/>
                <w:szCs w:val="22"/>
              </w:rPr>
              <w:t>.0</w:t>
            </w:r>
            <w:r w:rsidRPr="00FE7FC8">
              <w:rPr>
                <w:rFonts w:eastAsia="Times New Roman" w:cs="Arial"/>
                <w:color w:val="000000"/>
                <w:kern w:val="0"/>
                <w:sz w:val="22"/>
                <w:szCs w:val="22"/>
              </w:rPr>
              <w:t xml:space="preserve"> ± 0.1</w:t>
            </w:r>
            <w:r w:rsidR="005109EE" w:rsidRPr="005109EE">
              <w:rPr>
                <w:rFonts w:eastAsia="Times New Roman" w:cs="Arial"/>
                <w:color w:val="000000"/>
                <w:kern w:val="0"/>
                <w:sz w:val="22"/>
                <w:szCs w:val="22"/>
                <w:vertAlign w:val="superscript"/>
              </w:rPr>
              <w:t>ab</w:t>
            </w:r>
          </w:p>
        </w:tc>
        <w:tc>
          <w:tcPr>
            <w:tcW w:w="1276" w:type="dxa"/>
            <w:tcBorders>
              <w:top w:val="nil"/>
              <w:left w:val="nil"/>
              <w:bottom w:val="single" w:sz="4" w:space="0" w:color="auto"/>
              <w:right w:val="nil"/>
            </w:tcBorders>
            <w:shd w:val="clear" w:color="auto" w:fill="auto"/>
            <w:noWrap/>
            <w:vAlign w:val="bottom"/>
            <w:hideMark/>
          </w:tcPr>
          <w:p w:rsidR="00FE7FC8" w:rsidRPr="00FE7FC8" w:rsidRDefault="00FE7FC8" w:rsidP="00FE7FC8">
            <w:pPr>
              <w:widowControl/>
              <w:suppressAutoHyphens w:val="0"/>
              <w:ind w:firstLine="0"/>
              <w:jc w:val="center"/>
              <w:rPr>
                <w:rFonts w:eastAsia="Times New Roman" w:cs="Arial"/>
                <w:color w:val="000000"/>
                <w:kern w:val="0"/>
                <w:sz w:val="22"/>
                <w:szCs w:val="22"/>
              </w:rPr>
            </w:pPr>
            <w:r w:rsidRPr="00FE7FC8">
              <w:rPr>
                <w:rFonts w:eastAsia="Times New Roman" w:cs="Arial"/>
                <w:color w:val="000000"/>
                <w:kern w:val="0"/>
                <w:sz w:val="22"/>
                <w:szCs w:val="22"/>
              </w:rPr>
              <w:t>2.5 ± 0.1</w:t>
            </w:r>
            <w:r w:rsidR="005109EE" w:rsidRPr="005109EE">
              <w:rPr>
                <w:rFonts w:eastAsia="Times New Roman" w:cs="Arial"/>
                <w:color w:val="000000"/>
                <w:kern w:val="0"/>
                <w:sz w:val="22"/>
                <w:szCs w:val="22"/>
                <w:vertAlign w:val="superscript"/>
              </w:rPr>
              <w:t>a</w:t>
            </w:r>
          </w:p>
        </w:tc>
      </w:tr>
    </w:tbl>
    <w:p w:rsidR="009D0723" w:rsidRPr="005109EE" w:rsidRDefault="005109EE" w:rsidP="00040F46">
      <w:pPr>
        <w:pStyle w:val="Leyendadefiguraotabla"/>
        <w:spacing w:before="0" w:after="0"/>
        <w:ind w:firstLine="0"/>
        <w:jc w:val="both"/>
        <w:rPr>
          <w:rFonts w:cs="Arial"/>
          <w:i w:val="0"/>
          <w:sz w:val="24"/>
          <w:lang w:val="pt-BR"/>
        </w:rPr>
      </w:pPr>
      <w:r w:rsidRPr="005109EE">
        <w:rPr>
          <w:rFonts w:cs="Arial"/>
          <w:i w:val="0"/>
          <w:sz w:val="24"/>
          <w:lang w:val="pt-BR"/>
        </w:rPr>
        <w:t>Letras diferentes na mesma linha indicam diferença significativa (p&lt;0,05).</w:t>
      </w:r>
    </w:p>
    <w:p w:rsidR="00A802B0" w:rsidRDefault="00A802B0" w:rsidP="00E67CAD">
      <w:pPr>
        <w:ind w:firstLine="0"/>
        <w:rPr>
          <w:rFonts w:cs="Arial"/>
        </w:rPr>
      </w:pPr>
    </w:p>
    <w:p w:rsidR="0082219D" w:rsidRDefault="0082219D" w:rsidP="0029083B">
      <w:pPr>
        <w:pStyle w:val="Ttulodaseoprimria"/>
      </w:pPr>
    </w:p>
    <w:p w:rsidR="009D0723" w:rsidRDefault="0082219D" w:rsidP="0029083B">
      <w:pPr>
        <w:pStyle w:val="Ttulodaseoprimria"/>
        <w:rPr>
          <w:sz w:val="24"/>
        </w:rPr>
      </w:pPr>
      <w:r w:rsidRPr="0082219D">
        <w:rPr>
          <w:sz w:val="24"/>
        </w:rPr>
        <w:t>CONSIDERAÇÕES FINAIS</w:t>
      </w:r>
    </w:p>
    <w:p w:rsidR="003220E0" w:rsidRPr="0082219D" w:rsidRDefault="003220E0" w:rsidP="0029083B">
      <w:pPr>
        <w:pStyle w:val="Ttulodaseoprimria"/>
        <w:rPr>
          <w:sz w:val="24"/>
        </w:rPr>
      </w:pPr>
    </w:p>
    <w:p w:rsidR="009D0723" w:rsidRDefault="00583EAB" w:rsidP="0029083B">
      <w:r>
        <w:t>Apesar de não terem sido constatadas diferenças</w:t>
      </w:r>
      <w:r w:rsidR="00833B25">
        <w:t xml:space="preserve"> significativas</w:t>
      </w:r>
      <w:r>
        <w:t xml:space="preserve"> no crescimento, a exposição crônica ao cobre afeta diretamente o consumo oxigênio </w:t>
      </w:r>
      <w:r w:rsidR="00833B25">
        <w:t xml:space="preserve">de juvenis de </w:t>
      </w:r>
      <w:r w:rsidR="00833B25" w:rsidRPr="00833B25">
        <w:rPr>
          <w:i/>
        </w:rPr>
        <w:t>P. vivipara</w:t>
      </w:r>
      <w:r w:rsidR="00833B25">
        <w:t xml:space="preserve">. Outros estudos estão sendo conduzidos, a fim de investigar as possíveis alterações na taxa metabólica e em outros parâmetros fisiológicos da espécie. </w:t>
      </w:r>
    </w:p>
    <w:p w:rsidR="00833B25" w:rsidRDefault="00833B25" w:rsidP="0029083B"/>
    <w:p w:rsidR="009D0723" w:rsidRPr="00040F46" w:rsidRDefault="0082219D" w:rsidP="00711AA3">
      <w:pPr>
        <w:pStyle w:val="Ttulodaseoprimria"/>
        <w:jc w:val="left"/>
        <w:rPr>
          <w:lang w:val="en-US"/>
        </w:rPr>
      </w:pPr>
      <w:r w:rsidRPr="00040F46">
        <w:rPr>
          <w:lang w:val="en-US"/>
        </w:rPr>
        <w:t>REFERÊNCIAS</w:t>
      </w:r>
    </w:p>
    <w:p w:rsidR="009D0723" w:rsidRPr="00040F46" w:rsidRDefault="009D0723" w:rsidP="0029083B">
      <w:pPr>
        <w:rPr>
          <w:rFonts w:cs="Arial"/>
          <w:lang w:val="en-US"/>
        </w:rPr>
      </w:pPr>
    </w:p>
    <w:p w:rsidR="00320F31" w:rsidRPr="00320F31" w:rsidRDefault="00320F31" w:rsidP="00320F31">
      <w:pPr>
        <w:spacing w:after="120"/>
        <w:ind w:firstLine="0"/>
        <w:rPr>
          <w:lang w:val="en-US"/>
        </w:rPr>
      </w:pPr>
      <w:r w:rsidRPr="00320F31">
        <w:rPr>
          <w:lang w:val="en-US"/>
        </w:rPr>
        <w:t xml:space="preserve">LAWS, E., A. 2000. </w:t>
      </w:r>
      <w:r w:rsidRPr="002D65F2">
        <w:rPr>
          <w:b/>
          <w:lang w:val="en-US"/>
        </w:rPr>
        <w:t>Aquatic Pollution: An Introductory</w:t>
      </w:r>
      <w:r w:rsidRPr="00320F31">
        <w:rPr>
          <w:lang w:val="en-US"/>
        </w:rPr>
        <w:t xml:space="preserve"> Text. Wiley. 3 edition. 672 p.</w:t>
      </w:r>
    </w:p>
    <w:p w:rsidR="00320F31" w:rsidRPr="00320F31" w:rsidRDefault="00320F31" w:rsidP="00320F31">
      <w:pPr>
        <w:spacing w:after="120"/>
        <w:ind w:firstLine="0"/>
      </w:pPr>
      <w:r w:rsidRPr="00320F31">
        <w:rPr>
          <w:lang w:val="en-US"/>
        </w:rPr>
        <w:t xml:space="preserve">SÁNCHEZ, M. L. 2008. </w:t>
      </w:r>
      <w:r w:rsidRPr="002D65F2">
        <w:rPr>
          <w:b/>
          <w:lang w:val="en-US"/>
        </w:rPr>
        <w:t>Causes and effects of heavy metal pollution</w:t>
      </w:r>
      <w:r w:rsidRPr="00320F31">
        <w:rPr>
          <w:lang w:val="en-US"/>
        </w:rPr>
        <w:t xml:space="preserve">. </w:t>
      </w:r>
      <w:r w:rsidRPr="00320F31">
        <w:t>Nova Science Publishers. 392 p.</w:t>
      </w:r>
    </w:p>
    <w:p w:rsidR="00320F31" w:rsidRPr="00320F31" w:rsidRDefault="00320F31" w:rsidP="00320F31">
      <w:pPr>
        <w:spacing w:after="120"/>
        <w:ind w:firstLine="0"/>
      </w:pPr>
      <w:r w:rsidRPr="00320F31">
        <w:t xml:space="preserve">SANTOS, E. G. N., CUNHA, R. A. SANTOS, C. P. 2011. </w:t>
      </w:r>
      <w:r w:rsidRPr="002D65F2">
        <w:rPr>
          <w:b/>
        </w:rPr>
        <w:t xml:space="preserve">Behavioral responses of </w:t>
      </w:r>
      <w:r w:rsidRPr="002D65F2">
        <w:rPr>
          <w:b/>
          <w:i/>
        </w:rPr>
        <w:t>Poecilia vivipara</w:t>
      </w:r>
      <w:r w:rsidRPr="002D65F2">
        <w:rPr>
          <w:b/>
        </w:rPr>
        <w:t xml:space="preserve"> (Osteichthyies: Cyprinodontiformes) to experimental infections of </w:t>
      </w:r>
      <w:r w:rsidRPr="002D65F2">
        <w:rPr>
          <w:b/>
          <w:i/>
        </w:rPr>
        <w:t xml:space="preserve">Acanthocollaritrema umbilicatum </w:t>
      </w:r>
      <w:r w:rsidRPr="002D65F2">
        <w:rPr>
          <w:b/>
        </w:rPr>
        <w:t xml:space="preserve"> (Digenea:Cryptogonimidae).</w:t>
      </w:r>
      <w:r w:rsidRPr="00320F31">
        <w:t xml:space="preserve"> </w:t>
      </w:r>
      <w:r w:rsidRPr="00320F31">
        <w:rPr>
          <w:i/>
        </w:rPr>
        <w:t>Experimental Parasitology</w:t>
      </w:r>
      <w:r w:rsidRPr="00320F31">
        <w:t>, 127 522–526.</w:t>
      </w:r>
    </w:p>
    <w:sectPr w:rsidR="00320F31" w:rsidRPr="00320F31" w:rsidSect="0082219D">
      <w:headerReference w:type="default" r:id="rId7"/>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BE6" w:rsidRDefault="00F44BE6" w:rsidP="00B11590">
      <w:r>
        <w:separator/>
      </w:r>
    </w:p>
  </w:endnote>
  <w:endnote w:type="continuationSeparator" w:id="1">
    <w:p w:rsidR="00F44BE6" w:rsidRDefault="00F44BE6" w:rsidP="00B11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BE6" w:rsidRDefault="00F44BE6" w:rsidP="00B11590">
      <w:r>
        <w:separator/>
      </w:r>
    </w:p>
  </w:footnote>
  <w:footnote w:type="continuationSeparator" w:id="1">
    <w:p w:rsidR="00F44BE6" w:rsidRDefault="00F44BE6" w:rsidP="00B11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67" w:rsidRDefault="001B61B2" w:rsidP="00F34C67">
    <w:pPr>
      <w:pStyle w:val="Cabealho"/>
      <w:jc w:val="center"/>
      <w:rPr>
        <w:rStyle w:val="Forte"/>
        <w:b w:val="0"/>
        <w:sz w:val="20"/>
        <w:szCs w:val="20"/>
      </w:rPr>
    </w:pPr>
    <w:r>
      <w:rPr>
        <w:bCs/>
        <w:noProof/>
        <w:sz w:val="20"/>
        <w:szCs w:val="20"/>
      </w:rPr>
      <w:drawing>
        <wp:anchor distT="0" distB="0" distL="114300" distR="114300" simplePos="0" relativeHeight="251657728" behindDoc="1" locked="0" layoutInCell="1" allowOverlap="1">
          <wp:simplePos x="0" y="0"/>
          <wp:positionH relativeFrom="column">
            <wp:posOffset>1501140</wp:posOffset>
          </wp:positionH>
          <wp:positionV relativeFrom="paragraph">
            <wp:posOffset>-268605</wp:posOffset>
          </wp:positionV>
          <wp:extent cx="2466975" cy="742950"/>
          <wp:effectExtent l="19050" t="0" r="9525" b="0"/>
          <wp:wrapNone/>
          <wp:docPr id="1" name="Imagem 1"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inal"/>
                  <pic:cNvPicPr>
                    <a:picLocks noChangeAspect="1" noChangeArrowheads="1"/>
                  </pic:cNvPicPr>
                </pic:nvPicPr>
                <pic:blipFill>
                  <a:blip r:embed="rId1">
                    <a:grayscl/>
                  </a:blip>
                  <a:srcRect/>
                  <a:stretch>
                    <a:fillRect/>
                  </a:stretch>
                </pic:blipFill>
                <pic:spPr bwMode="auto">
                  <a:xfrm>
                    <a:off x="0" y="0"/>
                    <a:ext cx="2466975" cy="742950"/>
                  </a:xfrm>
                  <a:prstGeom prst="rect">
                    <a:avLst/>
                  </a:prstGeom>
                  <a:noFill/>
                </pic:spPr>
              </pic:pic>
            </a:graphicData>
          </a:graphic>
        </wp:anchor>
      </w:drawing>
    </w:r>
  </w:p>
  <w:p w:rsidR="00F34C67" w:rsidRDefault="00F34C67" w:rsidP="00F34C67">
    <w:pPr>
      <w:pStyle w:val="Cabealho"/>
      <w:jc w:val="left"/>
      <w:rPr>
        <w:rStyle w:val="Forte"/>
        <w:b w:val="0"/>
        <w:sz w:val="20"/>
        <w:szCs w:val="20"/>
      </w:rPr>
    </w:pPr>
    <w:r>
      <w:rPr>
        <w:rStyle w:val="Forte"/>
        <w:b w:val="0"/>
        <w:sz w:val="20"/>
        <w:szCs w:val="20"/>
      </w:rPr>
      <w:t>.</w:t>
    </w:r>
  </w:p>
  <w:p w:rsidR="00F34C67" w:rsidRDefault="00F34C67" w:rsidP="00F34C67">
    <w:pPr>
      <w:pStyle w:val="Cabealho"/>
      <w:ind w:firstLine="0"/>
      <w:rPr>
        <w:rStyle w:val="Forte"/>
        <w:b w:val="0"/>
        <w:sz w:val="20"/>
        <w:szCs w:val="20"/>
      </w:rPr>
    </w:pPr>
  </w:p>
  <w:p w:rsidR="00F34C67" w:rsidRDefault="00F34C67" w:rsidP="00F34C67">
    <w:pPr>
      <w:pStyle w:val="Cabealho"/>
      <w:ind w:firstLine="0"/>
      <w:jc w:val="center"/>
      <w:rPr>
        <w:rStyle w:val="Forte"/>
        <w:b w:val="0"/>
        <w:sz w:val="20"/>
        <w:szCs w:val="20"/>
      </w:rPr>
    </w:pPr>
  </w:p>
  <w:p w:rsidR="00F34C67" w:rsidRPr="00F34C67" w:rsidRDefault="00F34C67" w:rsidP="00F34C67">
    <w:pPr>
      <w:pStyle w:val="Cabealho"/>
      <w:ind w:firstLine="0"/>
      <w:jc w:val="center"/>
      <w:rPr>
        <w:b/>
        <w:sz w:val="18"/>
        <w:szCs w:val="20"/>
      </w:rPr>
    </w:pPr>
    <w:r w:rsidRPr="00F34C67">
      <w:rPr>
        <w:rStyle w:val="Forte"/>
        <w:b w:val="0"/>
        <w:sz w:val="18"/>
        <w:szCs w:val="20"/>
      </w:rPr>
      <w:t>Rio Grande/RS, Brasil, 23 a 25 de outubro de 2013.</w:t>
    </w:r>
  </w:p>
  <w:p w:rsidR="00F34C67" w:rsidRDefault="00F34C67" w:rsidP="00F34C67">
    <w:pPr>
      <w:pStyle w:val="Cabealho"/>
      <w:jc w:val="left"/>
      <w:rPr>
        <w:rStyle w:val="Forte"/>
        <w:b w:val="0"/>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9D0723"/>
    <w:rsid w:val="000033F3"/>
    <w:rsid w:val="0002760C"/>
    <w:rsid w:val="00040F46"/>
    <w:rsid w:val="000C1837"/>
    <w:rsid w:val="000F630E"/>
    <w:rsid w:val="00125006"/>
    <w:rsid w:val="00185FE1"/>
    <w:rsid w:val="001B61B2"/>
    <w:rsid w:val="001C0B39"/>
    <w:rsid w:val="001C7B8C"/>
    <w:rsid w:val="001E496B"/>
    <w:rsid w:val="00203D0A"/>
    <w:rsid w:val="0024774D"/>
    <w:rsid w:val="0029083B"/>
    <w:rsid w:val="002A7A57"/>
    <w:rsid w:val="002D65F2"/>
    <w:rsid w:val="00320F31"/>
    <w:rsid w:val="003220E0"/>
    <w:rsid w:val="003B3336"/>
    <w:rsid w:val="003C0392"/>
    <w:rsid w:val="003E4A95"/>
    <w:rsid w:val="00404316"/>
    <w:rsid w:val="0043497B"/>
    <w:rsid w:val="00493589"/>
    <w:rsid w:val="004F7A69"/>
    <w:rsid w:val="005109EE"/>
    <w:rsid w:val="00520FB9"/>
    <w:rsid w:val="00535A19"/>
    <w:rsid w:val="00583EAB"/>
    <w:rsid w:val="005A7A4B"/>
    <w:rsid w:val="00690607"/>
    <w:rsid w:val="006942CC"/>
    <w:rsid w:val="006A4184"/>
    <w:rsid w:val="006F1A5E"/>
    <w:rsid w:val="0070021A"/>
    <w:rsid w:val="00711AA3"/>
    <w:rsid w:val="00731B6A"/>
    <w:rsid w:val="00766600"/>
    <w:rsid w:val="007C2D07"/>
    <w:rsid w:val="0082219D"/>
    <w:rsid w:val="00833B25"/>
    <w:rsid w:val="0084267A"/>
    <w:rsid w:val="00941544"/>
    <w:rsid w:val="009B0959"/>
    <w:rsid w:val="009D0723"/>
    <w:rsid w:val="009F1118"/>
    <w:rsid w:val="00A11101"/>
    <w:rsid w:val="00A756D1"/>
    <w:rsid w:val="00A771C1"/>
    <w:rsid w:val="00A802B0"/>
    <w:rsid w:val="00AA1E3F"/>
    <w:rsid w:val="00AD25BA"/>
    <w:rsid w:val="00AD37D9"/>
    <w:rsid w:val="00B11590"/>
    <w:rsid w:val="00B57653"/>
    <w:rsid w:val="00B762BC"/>
    <w:rsid w:val="00C341B4"/>
    <w:rsid w:val="00C47B84"/>
    <w:rsid w:val="00C52658"/>
    <w:rsid w:val="00C950B7"/>
    <w:rsid w:val="00C97D3F"/>
    <w:rsid w:val="00CC3E16"/>
    <w:rsid w:val="00CF1B19"/>
    <w:rsid w:val="00D15907"/>
    <w:rsid w:val="00D25A87"/>
    <w:rsid w:val="00D43862"/>
    <w:rsid w:val="00D740C6"/>
    <w:rsid w:val="00DD10E4"/>
    <w:rsid w:val="00DD1B99"/>
    <w:rsid w:val="00DE6963"/>
    <w:rsid w:val="00DF6E59"/>
    <w:rsid w:val="00E5152E"/>
    <w:rsid w:val="00E67CAD"/>
    <w:rsid w:val="00EA4D78"/>
    <w:rsid w:val="00EA51E0"/>
    <w:rsid w:val="00EB13F7"/>
    <w:rsid w:val="00EC61B8"/>
    <w:rsid w:val="00F34C67"/>
    <w:rsid w:val="00F44BE6"/>
    <w:rsid w:val="00F56270"/>
    <w:rsid w:val="00F65AE9"/>
    <w:rsid w:val="00FB3E05"/>
    <w:rsid w:val="00FE7F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basedOn w:val="Fontepargpadro"/>
    <w:link w:val="Textodenotadefim"/>
    <w:uiPriority w:val="99"/>
    <w:semiHidden/>
    <w:rsid w:val="000033F3"/>
    <w:rPr>
      <w:rFonts w:ascii="Arial" w:eastAsia="Arial Unicode MS" w:hAnsi="Arial"/>
      <w:kern w:val="1"/>
    </w:rPr>
  </w:style>
  <w:style w:type="character" w:styleId="Refdenotadefim">
    <w:name w:val="endnote reference"/>
    <w:basedOn w:val="Fontepargpadro"/>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basedOn w:val="Fontepargpadro"/>
    <w:link w:val="Textodenotaderodap"/>
    <w:uiPriority w:val="99"/>
    <w:semiHidden/>
    <w:rsid w:val="000033F3"/>
    <w:rPr>
      <w:rFonts w:ascii="Arial" w:eastAsia="Arial Unicode MS" w:hAnsi="Arial"/>
      <w:kern w:val="1"/>
    </w:rPr>
  </w:style>
  <w:style w:type="character" w:styleId="Refdenotaderodap">
    <w:name w:val="footnote reference"/>
    <w:basedOn w:val="Fontepargpadro"/>
    <w:uiPriority w:val="99"/>
    <w:semiHidden/>
    <w:unhideWhenUsed/>
    <w:rsid w:val="000033F3"/>
    <w:rPr>
      <w:vertAlign w:val="superscript"/>
    </w:rPr>
  </w:style>
  <w:style w:type="paragraph" w:styleId="NormalWeb">
    <w:name w:val="Normal (Web)"/>
    <w:basedOn w:val="Normal"/>
    <w:unhideWhenUsed/>
    <w:rsid w:val="00B762BC"/>
    <w:pPr>
      <w:widowControl/>
      <w:suppressAutoHyphens w:val="0"/>
      <w:spacing w:before="100" w:beforeAutospacing="1" w:after="100" w:afterAutospacing="1"/>
      <w:ind w:firstLine="0"/>
      <w:jc w:val="left"/>
    </w:pPr>
    <w:rPr>
      <w:rFonts w:ascii="Times New Roman" w:eastAsia="Times New Roman" w:hAnsi="Times New Roman"/>
      <w:kern w:val="0"/>
    </w:rPr>
  </w:style>
</w:styles>
</file>

<file path=word/webSettings.xml><?xml version="1.0" encoding="utf-8"?>
<w:webSettings xmlns:r="http://schemas.openxmlformats.org/officeDocument/2006/relationships" xmlns:w="http://schemas.openxmlformats.org/wordprocessingml/2006/main">
  <w:divs>
    <w:div w:id="3705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6096-FF3E-494F-B9C5-448414E2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Sidnei</cp:lastModifiedBy>
  <cp:revision>2</cp:revision>
  <cp:lastPrinted>2013-05-31T18:34:00Z</cp:lastPrinted>
  <dcterms:created xsi:type="dcterms:W3CDTF">2013-07-01T13:48:00Z</dcterms:created>
  <dcterms:modified xsi:type="dcterms:W3CDTF">2013-07-01T13:48:00Z</dcterms:modified>
</cp:coreProperties>
</file>