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A3" w:rsidRDefault="00BF0CA3" w:rsidP="00862C1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64E0F" w:rsidRDefault="00E64E0F" w:rsidP="00E64E0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</w:t>
      </w:r>
      <w:r w:rsidRPr="00C924CB">
        <w:rPr>
          <w:rFonts w:ascii="Arial" w:hAnsi="Arial" w:cs="Arial"/>
          <w:b/>
          <w:sz w:val="24"/>
          <w:szCs w:val="24"/>
        </w:rPr>
        <w:t xml:space="preserve"> SÓCIOECONOMI</w:t>
      </w:r>
      <w:r>
        <w:rPr>
          <w:rFonts w:ascii="Arial" w:hAnsi="Arial" w:cs="Arial"/>
          <w:b/>
          <w:sz w:val="24"/>
          <w:szCs w:val="24"/>
        </w:rPr>
        <w:t>C</w:t>
      </w:r>
      <w:r w:rsidRPr="00C924C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Pr="00242A1C">
        <w:rPr>
          <w:rFonts w:ascii="Arial" w:hAnsi="Arial" w:cs="Arial"/>
          <w:b/>
          <w:sz w:val="24"/>
          <w:szCs w:val="24"/>
        </w:rPr>
        <w:t>OS MUNICIPIOS DE TRAMANDAÍ E IMBÉ</w:t>
      </w:r>
      <w:r w:rsidRPr="00C924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 CONTEXTO</w:t>
      </w:r>
      <w:r w:rsidRPr="00C924CB">
        <w:rPr>
          <w:rFonts w:ascii="Arial" w:hAnsi="Arial" w:cs="Arial"/>
          <w:b/>
          <w:sz w:val="24"/>
          <w:szCs w:val="24"/>
        </w:rPr>
        <w:t xml:space="preserve"> DAS CARTAS DE SENSIBILIDADE AMBIENTAL AO DERR</w:t>
      </w:r>
      <w:r>
        <w:rPr>
          <w:rFonts w:ascii="Arial" w:hAnsi="Arial" w:cs="Arial"/>
          <w:b/>
          <w:sz w:val="24"/>
          <w:szCs w:val="24"/>
        </w:rPr>
        <w:t xml:space="preserve">AMAMENTO DE ÓLEO – CARTAS SAO, </w:t>
      </w:r>
      <w:r w:rsidRPr="00C924CB">
        <w:rPr>
          <w:rFonts w:ascii="Arial" w:hAnsi="Arial" w:cs="Arial"/>
          <w:b/>
          <w:sz w:val="24"/>
          <w:szCs w:val="24"/>
        </w:rPr>
        <w:t>BACIA DE PELOTAS</w:t>
      </w:r>
    </w:p>
    <w:p w:rsidR="00E64E0F" w:rsidRDefault="00E64E0F" w:rsidP="00E64E0F">
      <w:pPr>
        <w:jc w:val="both"/>
        <w:rPr>
          <w:rFonts w:ascii="Arial" w:hAnsi="Arial" w:cs="Arial"/>
          <w:sz w:val="24"/>
          <w:szCs w:val="24"/>
        </w:rPr>
      </w:pPr>
    </w:p>
    <w:p w:rsidR="00E64E0F" w:rsidRPr="000554A2" w:rsidRDefault="00230F89" w:rsidP="00E64E0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[*] </w:t>
      </w:r>
      <w:r w:rsidR="00BB062D">
        <w:rPr>
          <w:rFonts w:ascii="Arial" w:hAnsi="Arial" w:cs="Arial"/>
          <w:sz w:val="24"/>
          <w:szCs w:val="24"/>
        </w:rPr>
        <w:t>PEREIRA</w:t>
      </w:r>
      <w:r w:rsidR="00E64E0F" w:rsidRPr="000554A2">
        <w:rPr>
          <w:rFonts w:ascii="Arial" w:hAnsi="Arial" w:cs="Arial"/>
          <w:sz w:val="24"/>
          <w:szCs w:val="24"/>
        </w:rPr>
        <w:t>, Leandro Alberto</w:t>
      </w:r>
      <w:r w:rsidR="00E64E0F">
        <w:rPr>
          <w:rFonts w:ascii="Arial" w:hAnsi="Arial" w:cs="Arial"/>
          <w:sz w:val="24"/>
          <w:szCs w:val="24"/>
        </w:rPr>
        <w:t> Vieira</w:t>
      </w:r>
      <w:r w:rsidR="00BB062D">
        <w:rPr>
          <w:rFonts w:ascii="Arial" w:hAnsi="Arial" w:cs="Arial"/>
          <w:sz w:val="24"/>
          <w:szCs w:val="24"/>
        </w:rPr>
        <w:t>;</w:t>
      </w:r>
    </w:p>
    <w:p w:rsidR="00E64E0F" w:rsidRPr="000554A2" w:rsidRDefault="00E64E0F" w:rsidP="00BB062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554A2">
        <w:rPr>
          <w:rFonts w:ascii="Arial" w:hAnsi="Arial" w:cs="Arial"/>
          <w:sz w:val="24"/>
          <w:szCs w:val="24"/>
        </w:rPr>
        <w:t>MAGANO</w:t>
      </w:r>
      <w:r w:rsidR="00BB062D">
        <w:rPr>
          <w:rFonts w:ascii="Arial" w:hAnsi="Arial" w:cs="Arial"/>
          <w:sz w:val="24"/>
          <w:szCs w:val="24"/>
        </w:rPr>
        <w:t xml:space="preserve"> SOARES</w:t>
      </w:r>
      <w:r w:rsidRPr="000554A2">
        <w:rPr>
          <w:rFonts w:ascii="Arial" w:hAnsi="Arial" w:cs="Arial"/>
          <w:sz w:val="24"/>
          <w:szCs w:val="24"/>
        </w:rPr>
        <w:t>, Miler</w:t>
      </w:r>
      <w:r w:rsidR="00BB062D">
        <w:rPr>
          <w:rFonts w:ascii="Arial" w:hAnsi="Arial" w:cs="Arial"/>
          <w:sz w:val="24"/>
          <w:szCs w:val="24"/>
        </w:rPr>
        <w:t xml:space="preserve">; </w:t>
      </w:r>
      <w:r w:rsidRPr="000554A2">
        <w:rPr>
          <w:rFonts w:ascii="Arial" w:hAnsi="Arial" w:cs="Arial"/>
          <w:sz w:val="24"/>
          <w:szCs w:val="24"/>
        </w:rPr>
        <w:t>DA SILVA, Rose Mary</w:t>
      </w:r>
      <w:r w:rsidR="00BB062D">
        <w:rPr>
          <w:rFonts w:ascii="Arial" w:hAnsi="Arial" w:cs="Arial"/>
          <w:sz w:val="24"/>
          <w:szCs w:val="24"/>
        </w:rPr>
        <w:t xml:space="preserve">; </w:t>
      </w:r>
      <w:r w:rsidR="00001087">
        <w:rPr>
          <w:rFonts w:ascii="Arial" w:hAnsi="Arial" w:cs="Arial"/>
          <w:sz w:val="24"/>
          <w:szCs w:val="24"/>
        </w:rPr>
        <w:t xml:space="preserve">KRACK, </w:t>
      </w:r>
      <w:hyperlink r:id="rId6" w:history="1">
        <w:r w:rsidR="00001087" w:rsidRPr="0000108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Akauã C</w:t>
        </w:r>
        <w:r w:rsidR="00BB062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</w:hyperlink>
      <w:r w:rsidR="00375DE4">
        <w:t xml:space="preserve">, </w:t>
      </w:r>
      <w:r w:rsidR="00FD5CA2">
        <w:t xml:space="preserve">                   </w:t>
      </w:r>
      <w:r w:rsidR="00FD5CA2">
        <w:rPr>
          <w:rFonts w:ascii="Arial" w:hAnsi="Arial" w:cs="Arial"/>
          <w:bCs/>
          <w:sz w:val="24"/>
          <w:szCs w:val="24"/>
        </w:rPr>
        <w:t xml:space="preserve">DE SOUZA; Tagline </w:t>
      </w:r>
      <w:r w:rsidR="00FD5CA2" w:rsidRPr="009F69FD">
        <w:rPr>
          <w:rFonts w:ascii="Arial" w:hAnsi="Arial" w:cs="Arial"/>
          <w:bCs/>
          <w:sz w:val="24"/>
          <w:szCs w:val="24"/>
        </w:rPr>
        <w:t>Gehrke</w:t>
      </w:r>
      <w:r w:rsidR="00FD5CA2">
        <w:t xml:space="preserve">, </w:t>
      </w:r>
      <w:r w:rsidR="00BB062D">
        <w:rPr>
          <w:rFonts w:ascii="Arial" w:hAnsi="Arial" w:cs="Arial"/>
          <w:sz w:val="24"/>
          <w:szCs w:val="24"/>
        </w:rPr>
        <w:t xml:space="preserve">TERCEIRO Abraão Martins; WALTER, Tatiana; </w:t>
      </w:r>
      <w:r w:rsidRPr="000554A2">
        <w:rPr>
          <w:rFonts w:ascii="Arial" w:hAnsi="Arial" w:cs="Arial"/>
          <w:bCs/>
          <w:sz w:val="24"/>
          <w:szCs w:val="24"/>
        </w:rPr>
        <w:t>ANELL</w:t>
      </w:r>
      <w:r w:rsidR="0080262D">
        <w:rPr>
          <w:rFonts w:ascii="Arial" w:hAnsi="Arial" w:cs="Arial"/>
          <w:bCs/>
          <w:sz w:val="24"/>
          <w:szCs w:val="24"/>
        </w:rPr>
        <w:t>O, Lucia de Fátima S.</w:t>
      </w:r>
      <w:r w:rsidR="009F69FD">
        <w:rPr>
          <w:rFonts w:ascii="Arial" w:hAnsi="Arial" w:cs="Arial"/>
          <w:bCs/>
          <w:sz w:val="24"/>
          <w:szCs w:val="24"/>
        </w:rPr>
        <w:t xml:space="preserve"> </w:t>
      </w:r>
    </w:p>
    <w:p w:rsidR="00E64E0F" w:rsidRDefault="00EA16EB" w:rsidP="00E64E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</w:t>
      </w:r>
      <w:r w:rsidR="00E64E0F">
        <w:rPr>
          <w:rFonts w:ascii="Arial" w:hAnsi="Arial" w:cs="Arial"/>
          <w:sz w:val="24"/>
          <w:szCs w:val="24"/>
        </w:rPr>
        <w:t>dro-avp@hotmail.com</w:t>
      </w:r>
    </w:p>
    <w:p w:rsidR="00E64E0F" w:rsidRPr="00395EE8" w:rsidRDefault="00E64E0F" w:rsidP="00E64E0F">
      <w:pPr>
        <w:jc w:val="right"/>
        <w:rPr>
          <w:rFonts w:ascii="Arial" w:eastAsia="Calibri" w:hAnsi="Arial" w:cs="Arial"/>
          <w:sz w:val="24"/>
          <w:szCs w:val="24"/>
        </w:rPr>
      </w:pPr>
      <w:r w:rsidRPr="007613CD">
        <w:rPr>
          <w:rFonts w:ascii="Arial" w:eastAsia="Calibri" w:hAnsi="Arial" w:cs="Arial"/>
          <w:b/>
          <w:sz w:val="24"/>
          <w:szCs w:val="24"/>
        </w:rPr>
        <w:t>Evento:</w:t>
      </w:r>
      <w:r w:rsidRPr="00395EE8">
        <w:rPr>
          <w:rFonts w:ascii="Arial" w:eastAsia="Calibri" w:hAnsi="Arial" w:cs="Arial"/>
          <w:sz w:val="24"/>
          <w:szCs w:val="24"/>
        </w:rPr>
        <w:t xml:space="preserve"> </w:t>
      </w:r>
      <w:r w:rsidRPr="007613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Congresso de Iniciação Científica</w:t>
      </w:r>
    </w:p>
    <w:p w:rsidR="00E64E0F" w:rsidRDefault="00E64E0F" w:rsidP="00E64E0F">
      <w:pPr>
        <w:jc w:val="right"/>
        <w:rPr>
          <w:rFonts w:ascii="Arial" w:eastAsia="Calibri" w:hAnsi="Arial" w:cs="Arial"/>
          <w:b/>
          <w:sz w:val="24"/>
          <w:szCs w:val="24"/>
        </w:rPr>
      </w:pPr>
      <w:r w:rsidRPr="007613CD">
        <w:rPr>
          <w:rFonts w:ascii="Arial" w:eastAsia="Calibri" w:hAnsi="Arial" w:cs="Arial"/>
          <w:b/>
          <w:sz w:val="24"/>
          <w:szCs w:val="24"/>
        </w:rPr>
        <w:t xml:space="preserve">Área do conhecimento: </w:t>
      </w:r>
      <w:r w:rsidR="00ED637E" w:rsidRPr="00BB062D">
        <w:rPr>
          <w:rFonts w:ascii="Arial" w:eastAsia="Calibri" w:hAnsi="Arial" w:cs="Arial"/>
          <w:sz w:val="24"/>
          <w:szCs w:val="24"/>
        </w:rPr>
        <w:t>Sociologia Rural</w:t>
      </w:r>
    </w:p>
    <w:p w:rsidR="00230F89" w:rsidRDefault="00230F89" w:rsidP="00230F89">
      <w:pPr>
        <w:jc w:val="right"/>
        <w:rPr>
          <w:rStyle w:val="Forte"/>
          <w:rFonts w:ascii="Arial" w:hAnsi="Arial"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2706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B</w:t>
      </w:r>
      <w:r w:rsidRPr="00F92B5E">
        <w:rPr>
          <w:rFonts w:ascii="Arial" w:hAnsi="Arial" w:cs="Arial"/>
          <w:sz w:val="24"/>
          <w:szCs w:val="24"/>
        </w:rPr>
        <w:t>olsista de Iniciação Tecnológica – FAPERGS</w:t>
      </w:r>
    </w:p>
    <w:p w:rsidR="00E64E0F" w:rsidRPr="00DB39DB" w:rsidRDefault="00E64E0F" w:rsidP="00DB39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13CD">
        <w:rPr>
          <w:rStyle w:val="Forte"/>
          <w:rFonts w:ascii="Arial" w:hAnsi="Arial"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Palavras-chave</w:t>
      </w:r>
      <w:r w:rsidR="00E744D6">
        <w:rPr>
          <w:rStyle w:val="Forte"/>
          <w:rFonts w:ascii="Arial" w:hAnsi="Arial"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7613CD">
        <w:rPr>
          <w:rStyle w:val="Forte"/>
          <w:rFonts w:ascii="Arial" w:hAnsi="Arial" w:cs="Arial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B33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</w:t>
      </w:r>
      <w:r w:rsidR="0045352D" w:rsidRPr="00F92B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aracterização socioeconômica</w:t>
      </w:r>
      <w:r w:rsidR="005B33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B3323" w:rsidRPr="00EB40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Cartas </w:t>
      </w:r>
      <w:r w:rsidR="005B33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SAO</w:t>
      </w:r>
      <w:r w:rsidR="004535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5352D">
        <w:rPr>
          <w:rFonts w:ascii="Arial" w:hAnsi="Arial" w:cs="Arial"/>
          <w:color w:val="000000" w:themeColor="text1"/>
          <w:sz w:val="24"/>
          <w:szCs w:val="24"/>
        </w:rPr>
        <w:t>Tramandaí e Imbé- RS</w:t>
      </w:r>
      <w:r w:rsidR="007224D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4E0F" w:rsidRDefault="00E64E0F" w:rsidP="00E64E0F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E64E0F" w:rsidRDefault="00E64E0F" w:rsidP="00E64E0F">
      <w:pPr>
        <w:pStyle w:val="Ttulodaseoprimria"/>
      </w:pPr>
    </w:p>
    <w:p w:rsidR="00E64E0F" w:rsidRDefault="0080262D" w:rsidP="008026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FB4772">
        <w:rPr>
          <w:rFonts w:ascii="Arial" w:hAnsi="Arial" w:cs="Arial"/>
          <w:sz w:val="24"/>
          <w:szCs w:val="24"/>
        </w:rPr>
        <w:t xml:space="preserve"> Janeiro do ano de</w:t>
      </w:r>
      <w:r w:rsidRPr="00390CC1">
        <w:rPr>
          <w:rFonts w:ascii="Arial" w:hAnsi="Arial" w:cs="Arial"/>
          <w:sz w:val="24"/>
          <w:szCs w:val="24"/>
        </w:rPr>
        <w:t xml:space="preserve"> 2000,  um grave desastre ecológico aconteceu no mar do Rio de Janeiro</w:t>
      </w:r>
      <w:r w:rsidR="00FB4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Pr="00390CC1">
        <w:rPr>
          <w:rFonts w:ascii="Arial" w:hAnsi="Arial" w:cs="Arial"/>
          <w:sz w:val="24"/>
          <w:szCs w:val="24"/>
        </w:rPr>
        <w:t xml:space="preserve"> decorrência  de um problema originado em uma das tubulações d</w:t>
      </w:r>
      <w:r>
        <w:rPr>
          <w:rFonts w:ascii="Arial" w:hAnsi="Arial" w:cs="Arial"/>
          <w:sz w:val="24"/>
          <w:szCs w:val="24"/>
        </w:rPr>
        <w:t xml:space="preserve">a Refinaria de Duque de Caxias (REDUC) </w:t>
      </w:r>
      <w:r w:rsidR="00FB4772"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z w:val="24"/>
          <w:szCs w:val="24"/>
        </w:rPr>
        <w:t xml:space="preserve"> as </w:t>
      </w:r>
      <w:r w:rsidRPr="00390CC1">
        <w:rPr>
          <w:rFonts w:ascii="Arial" w:hAnsi="Arial" w:cs="Arial"/>
          <w:sz w:val="24"/>
          <w:szCs w:val="24"/>
        </w:rPr>
        <w:t xml:space="preserve">conseqüências </w:t>
      </w:r>
      <w:r>
        <w:rPr>
          <w:rFonts w:ascii="Arial" w:hAnsi="Arial" w:cs="Arial"/>
          <w:sz w:val="24"/>
          <w:szCs w:val="24"/>
        </w:rPr>
        <w:t>foram de uma</w:t>
      </w:r>
      <w:r w:rsidRPr="00390CC1">
        <w:rPr>
          <w:rFonts w:ascii="Arial" w:hAnsi="Arial" w:cs="Arial"/>
          <w:sz w:val="24"/>
          <w:szCs w:val="24"/>
        </w:rPr>
        <w:t xml:space="preserve"> proporção incalculável, pois o </w:t>
      </w:r>
      <w:r>
        <w:rPr>
          <w:rFonts w:ascii="Arial" w:hAnsi="Arial" w:cs="Arial"/>
          <w:sz w:val="24"/>
          <w:szCs w:val="24"/>
        </w:rPr>
        <w:t>vazamento</w:t>
      </w:r>
      <w:r w:rsidR="00522DC3">
        <w:rPr>
          <w:rFonts w:ascii="Arial" w:hAnsi="Arial" w:cs="Arial"/>
          <w:sz w:val="24"/>
          <w:szCs w:val="24"/>
        </w:rPr>
        <w:t xml:space="preserve"> de óleo bruto </w:t>
      </w:r>
      <w:r>
        <w:rPr>
          <w:rFonts w:ascii="Arial" w:hAnsi="Arial" w:cs="Arial"/>
          <w:sz w:val="24"/>
          <w:szCs w:val="24"/>
        </w:rPr>
        <w:t xml:space="preserve">atingiu os manguezais, </w:t>
      </w:r>
      <w:r w:rsidRPr="00390CC1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s de proteção ambiental (APA), </w:t>
      </w:r>
      <w:r w:rsidRPr="00390CC1">
        <w:rPr>
          <w:rFonts w:ascii="Arial" w:hAnsi="Arial" w:cs="Arial"/>
          <w:sz w:val="24"/>
          <w:szCs w:val="24"/>
        </w:rPr>
        <w:t>além de provocar prejuízos tanto de ordem social, como econômica à população local</w:t>
      </w:r>
      <w:r>
        <w:rPr>
          <w:rFonts w:ascii="Arial" w:hAnsi="Arial" w:cs="Arial"/>
          <w:sz w:val="24"/>
          <w:szCs w:val="24"/>
        </w:rPr>
        <w:t xml:space="preserve">. </w:t>
      </w:r>
      <w:r w:rsidR="00E64E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Devido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 fato ocorrido associado ao</w:t>
      </w:r>
      <w:r w:rsidR="00E64E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aumento de acidentes ocasionados pelas atividades E&amp;P, no Brasil foi instituída a Lei </w:t>
      </w:r>
      <w:r w:rsidR="00E64E0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9.966/00</w:t>
      </w:r>
      <w:r w:rsidR="00E64E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64E0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determina que o Ministério do Meio Ambiente</w:t>
      </w:r>
      <w:r w:rsidR="00BB06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(MMA)</w:t>
      </w:r>
      <w:r w:rsidR="00E64E0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elabore as Cartas de Sensibilidade Ambiental para o Derramamento de Óleo</w:t>
      </w:r>
      <w:r w:rsidR="00E64E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E64E0F" w:rsidRPr="00EB40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Cartas SAO, visando à prevenção e controle de incidentes com óleo.</w:t>
      </w:r>
      <w:r w:rsidR="00E64E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Sendo assim, pode dizer que as Cartas SAO são </w:t>
      </w:r>
      <w:r w:rsidR="00BB06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um dos </w:t>
      </w:r>
      <w:r w:rsidR="00E64E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instrumentos </w:t>
      </w:r>
      <w:r w:rsidR="00E64E0F" w:rsidRPr="004518C8">
        <w:rPr>
          <w:rFonts w:ascii="Arial" w:hAnsi="Arial" w:cs="Arial"/>
          <w:sz w:val="24"/>
          <w:szCs w:val="24"/>
        </w:rPr>
        <w:t>oficiais para orientação à resposta em caso de acidentes</w:t>
      </w:r>
      <w:r w:rsidR="00E64E0F">
        <w:rPr>
          <w:rFonts w:ascii="Arial" w:hAnsi="Arial" w:cs="Arial"/>
          <w:sz w:val="24"/>
          <w:szCs w:val="24"/>
        </w:rPr>
        <w:t xml:space="preserve">. </w:t>
      </w:r>
      <w:r w:rsidR="00E64E0F" w:rsidRPr="00696940">
        <w:rPr>
          <w:rFonts w:ascii="Arial" w:hAnsi="Arial" w:cs="Arial"/>
          <w:sz w:val="24"/>
          <w:szCs w:val="24"/>
        </w:rPr>
        <w:t>O mapeamento da sensibilidade a óleo da Bacia de Pelotas é o objet</w:t>
      </w:r>
      <w:r w:rsidR="00E64E0F">
        <w:rPr>
          <w:rFonts w:ascii="Arial" w:hAnsi="Arial" w:cs="Arial"/>
          <w:sz w:val="24"/>
          <w:szCs w:val="24"/>
        </w:rPr>
        <w:t>o</w:t>
      </w:r>
      <w:r w:rsidR="00E64E0F" w:rsidRPr="00696940">
        <w:rPr>
          <w:rFonts w:ascii="Arial" w:hAnsi="Arial" w:cs="Arial"/>
          <w:sz w:val="24"/>
          <w:szCs w:val="24"/>
        </w:rPr>
        <w:t xml:space="preserve"> principal deste projeto, o qual é executado por meio de uma parceria entre a Universidade Federal de Rio Grande (FURG), a Universidade Federal do Rio Grande do Sul (UFRGS) e a empresa colaboradora Mapsmut LTDA, a partir de recursos oriundos do Ministério do Meio Ambiente, disponibilizados </w:t>
      </w:r>
      <w:r w:rsidR="00E64E0F">
        <w:rPr>
          <w:rFonts w:ascii="Arial" w:hAnsi="Arial" w:cs="Arial"/>
          <w:sz w:val="24"/>
          <w:szCs w:val="24"/>
        </w:rPr>
        <w:lastRenderedPageBreak/>
        <w:t xml:space="preserve">através do </w:t>
      </w:r>
      <w:r w:rsidR="00E64E0F" w:rsidRPr="00696940">
        <w:rPr>
          <w:rFonts w:ascii="Arial" w:hAnsi="Arial" w:cs="Arial"/>
          <w:sz w:val="24"/>
          <w:szCs w:val="24"/>
        </w:rPr>
        <w:t>Conselho Nacional de Desenvolvimento Científico e Tecnológico (CNPq).</w:t>
      </w:r>
      <w:r w:rsidR="00407F54">
        <w:rPr>
          <w:rFonts w:ascii="Arial" w:hAnsi="Arial" w:cs="Arial"/>
          <w:sz w:val="24"/>
          <w:szCs w:val="24"/>
        </w:rPr>
        <w:t xml:space="preserve"> </w:t>
      </w:r>
      <w:r w:rsidR="00BB062D">
        <w:rPr>
          <w:rFonts w:ascii="Arial" w:hAnsi="Arial" w:cs="Arial"/>
          <w:sz w:val="24"/>
          <w:szCs w:val="24"/>
        </w:rPr>
        <w:t xml:space="preserve">Dentre os levantamentos que integram à pesquisa, a caracterização dos recursos socioeconômicos e das estruturas necessárias à emergência ambientais nos municípios de </w:t>
      </w:r>
      <w:r w:rsidR="0054716C">
        <w:rPr>
          <w:rFonts w:ascii="Arial" w:hAnsi="Arial" w:cs="Arial"/>
          <w:sz w:val="24"/>
          <w:szCs w:val="24"/>
        </w:rPr>
        <w:t>Tramandaí</w:t>
      </w:r>
      <w:r w:rsidR="00BB062D">
        <w:rPr>
          <w:rFonts w:ascii="Arial" w:hAnsi="Arial" w:cs="Arial"/>
          <w:sz w:val="24"/>
          <w:szCs w:val="24"/>
        </w:rPr>
        <w:t xml:space="preserve"> e Imbé, no litoral do Rio Grande do Sul, são objeto da pesquisa aqui descrita. </w:t>
      </w:r>
    </w:p>
    <w:p w:rsidR="00E64E0F" w:rsidRPr="000765E5" w:rsidRDefault="00E64E0F" w:rsidP="00E64E0F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765E5">
        <w:rPr>
          <w:rFonts w:ascii="Arial" w:eastAsia="Calibri" w:hAnsi="Arial" w:cs="Arial"/>
          <w:b/>
          <w:sz w:val="24"/>
          <w:szCs w:val="24"/>
        </w:rPr>
        <w:t>2</w:t>
      </w:r>
      <w:proofErr w:type="gramEnd"/>
      <w:r w:rsidRPr="000765E5">
        <w:rPr>
          <w:rFonts w:ascii="Arial" w:eastAsia="Calibri" w:hAnsi="Arial" w:cs="Arial"/>
          <w:b/>
          <w:sz w:val="24"/>
          <w:szCs w:val="24"/>
        </w:rPr>
        <w:t xml:space="preserve"> MATERIAIS E MÉTODOS</w:t>
      </w:r>
    </w:p>
    <w:p w:rsidR="00E64E0F" w:rsidRPr="00162E00" w:rsidRDefault="00E64E0F" w:rsidP="00E64E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metodologia empregada para 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desenvolvimento das</w:t>
      </w:r>
      <w:r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Carta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SAO </w:t>
      </w:r>
      <w:r w:rsidR="00407F54">
        <w:rPr>
          <w:rFonts w:ascii="Arial" w:hAnsi="Arial" w:cs="Arial"/>
          <w:color w:val="000000" w:themeColor="text1"/>
          <w:sz w:val="24"/>
          <w:szCs w:val="24"/>
        </w:rPr>
        <w:t>n</w:t>
      </w:r>
      <w:r w:rsidRPr="0003542E">
        <w:rPr>
          <w:rFonts w:ascii="Arial" w:hAnsi="Arial" w:cs="Arial"/>
          <w:color w:val="000000" w:themeColor="text1"/>
          <w:sz w:val="24"/>
          <w:szCs w:val="24"/>
        </w:rPr>
        <w:t xml:space="preserve">o que </w:t>
      </w:r>
      <w:r>
        <w:rPr>
          <w:rFonts w:ascii="Arial" w:hAnsi="Arial" w:cs="Arial"/>
          <w:color w:val="000000" w:themeColor="text1"/>
          <w:sz w:val="24"/>
          <w:szCs w:val="24"/>
        </w:rPr>
        <w:t>se refere</w:t>
      </w:r>
      <w:r w:rsidRPr="000354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3542E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03542E">
        <w:rPr>
          <w:rFonts w:ascii="Arial" w:hAnsi="Arial" w:cs="Arial"/>
          <w:color w:val="000000" w:themeColor="text1"/>
          <w:sz w:val="24"/>
          <w:szCs w:val="24"/>
        </w:rPr>
        <w:t xml:space="preserve"> organização do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03542E">
        <w:rPr>
          <w:rFonts w:ascii="Arial" w:hAnsi="Arial" w:cs="Arial"/>
          <w:color w:val="000000" w:themeColor="text1"/>
          <w:sz w:val="24"/>
          <w:szCs w:val="24"/>
        </w:rPr>
        <w:t xml:space="preserve"> levantamento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de dados socioeconômicos que foi realizado nas orlas dos municípios de Tramandaí e Imbé, devido ao fato que estes lugares serem considerados de níveis operacionais. Para o levantamento de dados foram utilizados mapas, </w:t>
      </w:r>
      <w:r w:rsidRPr="005C6791">
        <w:rPr>
          <w:rFonts w:ascii="Arial" w:hAnsi="Arial" w:cs="Arial"/>
          <w:color w:val="000000" w:themeColor="text1"/>
          <w:sz w:val="24"/>
          <w:szCs w:val="24"/>
        </w:rPr>
        <w:t>GPS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câmeras digitais, filmadora e </w:t>
      </w:r>
      <w:r w:rsidR="00272808">
        <w:rPr>
          <w:rFonts w:ascii="Arial" w:hAnsi="Arial" w:cs="Arial"/>
          <w:color w:val="000000" w:themeColor="text1"/>
          <w:sz w:val="24"/>
          <w:szCs w:val="24"/>
        </w:rPr>
        <w:t>gravador.</w:t>
      </w:r>
    </w:p>
    <w:p w:rsidR="00E64E0F" w:rsidRDefault="00E64E0F" w:rsidP="00E64E0F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>
        <w:t xml:space="preserve">RESULTADOS e DISCUSSÃO </w:t>
      </w:r>
    </w:p>
    <w:p w:rsidR="00E64E0F" w:rsidRDefault="00E64E0F" w:rsidP="00E64E0F">
      <w:pPr>
        <w:pStyle w:val="Ttulodaseoprimria"/>
      </w:pPr>
    </w:p>
    <w:p w:rsidR="00407F54" w:rsidRPr="003F7878" w:rsidRDefault="00E64E0F" w:rsidP="00BC5022">
      <w:pPr>
        <w:pStyle w:val="Ttulodaseoprimria"/>
        <w:jc w:val="center"/>
        <w:rPr>
          <w:b w:val="0"/>
          <w:sz w:val="24"/>
        </w:rPr>
      </w:pPr>
      <w:r>
        <w:rPr>
          <w:b w:val="0"/>
          <w:sz w:val="24"/>
        </w:rPr>
        <w:t>Tabela 1- Dados levantados em socioeconômicos levantados em campo</w:t>
      </w:r>
    </w:p>
    <w:tbl>
      <w:tblPr>
        <w:tblW w:w="5754" w:type="dxa"/>
        <w:jc w:val="center"/>
        <w:tblInd w:w="-23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54"/>
      </w:tblGrid>
      <w:tr w:rsidR="00404516" w:rsidRPr="00597976" w:rsidTr="00D53109">
        <w:trPr>
          <w:cantSplit/>
          <w:trHeight w:val="352"/>
          <w:jc w:val="center"/>
        </w:trPr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516" w:rsidRPr="00BC5022" w:rsidRDefault="00404516" w:rsidP="005F536D">
            <w:pPr>
              <w:ind w:left="-27"/>
              <w:jc w:val="both"/>
              <w:rPr>
                <w:rFonts w:cs="Arial"/>
                <w:i/>
              </w:rPr>
            </w:pPr>
            <w:r w:rsidRPr="00BC5022">
              <w:rPr>
                <w:rFonts w:ascii="Arial" w:hAnsi="Arial" w:cs="Arial"/>
                <w:sz w:val="24"/>
                <w:szCs w:val="24"/>
              </w:rPr>
              <w:t>Recursos</w:t>
            </w:r>
            <w:r w:rsidR="00A05663" w:rsidRPr="00BC5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663" w:rsidRPr="00BC50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05663" w:rsidRPr="00BC5022">
              <w:rPr>
                <w:rFonts w:cs="Arial"/>
                <w:i/>
              </w:rPr>
              <w:t xml:space="preserve">                          </w:t>
            </w:r>
            <w:r w:rsidR="005F536D" w:rsidRPr="00BC5022">
              <w:rPr>
                <w:rFonts w:cs="Arial"/>
                <w:i/>
              </w:rPr>
              <w:t xml:space="preserve">                      </w:t>
            </w:r>
            <w:r w:rsidR="00A05663" w:rsidRPr="00BC5022">
              <w:rPr>
                <w:rFonts w:cs="Arial"/>
                <w:i/>
              </w:rPr>
              <w:t xml:space="preserve">  </w:t>
            </w:r>
            <w:r w:rsidR="00A05663" w:rsidRPr="00BC5022">
              <w:rPr>
                <w:rFonts w:ascii="Arial" w:hAnsi="Arial" w:cs="Arial"/>
                <w:sz w:val="24"/>
                <w:szCs w:val="24"/>
              </w:rPr>
              <w:t>Números</w:t>
            </w:r>
          </w:p>
        </w:tc>
      </w:tr>
      <w:tr w:rsidR="00404516" w:rsidRPr="00597976" w:rsidTr="00002DEB">
        <w:trPr>
          <w:cantSplit/>
          <w:trHeight w:val="1314"/>
          <w:jc w:val="center"/>
        </w:trPr>
        <w:tc>
          <w:tcPr>
            <w:tcW w:w="5754" w:type="dxa"/>
            <w:tcBorders>
              <w:top w:val="single" w:sz="4" w:space="0" w:color="auto"/>
            </w:tcBorders>
            <w:shd w:val="clear" w:color="auto" w:fill="auto"/>
          </w:tcPr>
          <w:p w:rsidR="00404516" w:rsidRDefault="00404516" w:rsidP="002E15DD">
            <w:pPr>
              <w:pStyle w:val="Tabla-Texto"/>
              <w:tabs>
                <w:tab w:val="left" w:pos="4800"/>
              </w:tabs>
              <w:spacing w:before="0" w:after="0"/>
              <w:ind w:firstLine="0"/>
              <w:jc w:val="left"/>
              <w:rPr>
                <w:rFonts w:cs="Arial"/>
                <w:sz w:val="22"/>
                <w:lang w:val="pt-BR"/>
              </w:rPr>
            </w:pPr>
            <w:r w:rsidRPr="00EB501F">
              <w:rPr>
                <w:rFonts w:cs="Arial"/>
                <w:color w:val="000000"/>
                <w:sz w:val="20"/>
                <w:szCs w:val="20"/>
                <w:lang w:eastAsia="pt-BR"/>
              </w:rPr>
              <w:t>Recrea</w:t>
            </w:r>
            <w:r w:rsidR="003F7878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ção                      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  <w:r w:rsidR="002E15D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>33</w:t>
            </w:r>
          </w:p>
          <w:p w:rsidR="00404516" w:rsidRDefault="00404516" w:rsidP="00B159E3">
            <w:pPr>
              <w:pStyle w:val="Tabla-Texto"/>
              <w:spacing w:before="0" w:after="0"/>
              <w:ind w:firstLine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CB7FF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Uso e </w:t>
            </w:r>
            <w:r w:rsidRPr="00CB7FFD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extração</w:t>
            </w:r>
            <w:r w:rsidRPr="00CB7FF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de recursos naturais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2E15D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>8</w:t>
            </w:r>
          </w:p>
          <w:p w:rsidR="00404516" w:rsidRDefault="00404516" w:rsidP="00B159E3">
            <w:pPr>
              <w:pStyle w:val="Tabla-Texto"/>
              <w:spacing w:before="0" w:after="0"/>
              <w:ind w:firstLine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CB7FFD">
              <w:rPr>
                <w:rFonts w:cs="Arial"/>
                <w:color w:val="000000"/>
                <w:sz w:val="20"/>
                <w:szCs w:val="20"/>
                <w:lang w:eastAsia="pt-BR"/>
              </w:rPr>
              <w:t>Gestão especial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E15D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>4</w:t>
            </w:r>
          </w:p>
          <w:p w:rsidR="00404516" w:rsidRDefault="00311C17" w:rsidP="00B159E3">
            <w:pPr>
              <w:pStyle w:val="Tabla-Texto"/>
              <w:spacing w:before="0" w:after="0"/>
              <w:ind w:firstLine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>Vías</w:t>
            </w:r>
            <w:r w:rsidR="005B7FBA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de acesso</w:t>
            </w:r>
            <w:r w:rsidR="00BF0CA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>a costa</w:t>
            </w:r>
            <w:r w:rsidR="00BF0CA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187679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(em revisão)</w:t>
            </w:r>
          </w:p>
          <w:p w:rsidR="00404516" w:rsidRDefault="00404516" w:rsidP="00B159E3">
            <w:pPr>
              <w:pStyle w:val="Tabla-Texto"/>
              <w:spacing w:before="0" w:after="0"/>
              <w:ind w:firstLine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CB7FFD">
              <w:rPr>
                <w:rFonts w:cs="Arial"/>
                <w:color w:val="000000"/>
                <w:sz w:val="20"/>
                <w:szCs w:val="20"/>
                <w:lang w:eastAsia="pt-BR"/>
              </w:rPr>
              <w:t>Cultural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548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>1</w:t>
            </w:r>
          </w:p>
          <w:p w:rsidR="00404516" w:rsidRDefault="00404516" w:rsidP="00B159E3">
            <w:pPr>
              <w:pStyle w:val="Tabla-Texto"/>
              <w:spacing w:before="0" w:after="0"/>
              <w:ind w:firstLine="0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CB7FFD">
              <w:rPr>
                <w:rFonts w:cs="Arial"/>
                <w:color w:val="000000"/>
                <w:sz w:val="20"/>
                <w:szCs w:val="20"/>
                <w:lang w:eastAsia="pt-BR"/>
              </w:rPr>
              <w:t>Respostas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="002E15D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>1</w:t>
            </w:r>
          </w:p>
          <w:p w:rsidR="00404516" w:rsidRPr="00597976" w:rsidRDefault="00404516" w:rsidP="005B7FBA">
            <w:pPr>
              <w:pStyle w:val="Tabla-Texto"/>
              <w:spacing w:before="0" w:after="0"/>
              <w:ind w:firstLine="0"/>
              <w:rPr>
                <w:rFonts w:cs="Arial"/>
                <w:sz w:val="22"/>
                <w:lang w:val="pt-BR"/>
              </w:rPr>
            </w:pPr>
            <w:r w:rsidRPr="00CB7FFD">
              <w:rPr>
                <w:rFonts w:cs="Arial"/>
                <w:color w:val="000000"/>
                <w:sz w:val="20"/>
                <w:szCs w:val="20"/>
                <w:lang w:eastAsia="pt-BR"/>
              </w:rPr>
              <w:t>Outros</w:t>
            </w:r>
            <w:r w:rsidR="006B6DE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      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2E15DD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159E3">
              <w:rPr>
                <w:rFonts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</w:tbl>
    <w:p w:rsidR="00E64E0F" w:rsidRDefault="00E64E0F" w:rsidP="00E64E0F">
      <w:pPr>
        <w:pStyle w:val="Ttulodaseoprimria"/>
      </w:pPr>
    </w:p>
    <w:p w:rsidR="0080262D" w:rsidRDefault="00E64E0F" w:rsidP="00E83519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E83519" w:rsidRPr="00E83519" w:rsidRDefault="00E83519" w:rsidP="00E83519">
      <w:pPr>
        <w:pStyle w:val="Ttulodaseoprimria"/>
        <w:rPr>
          <w:sz w:val="24"/>
        </w:rPr>
      </w:pPr>
    </w:p>
    <w:p w:rsidR="00404516" w:rsidRPr="004725C1" w:rsidRDefault="00E83519" w:rsidP="004725C1">
      <w:pPr>
        <w:jc w:val="both"/>
        <w:rPr>
          <w:rFonts w:ascii="Arial" w:hAnsi="Arial" w:cs="Arial"/>
          <w:sz w:val="24"/>
          <w:szCs w:val="24"/>
        </w:rPr>
      </w:pPr>
      <w:r w:rsidRPr="004725C1">
        <w:rPr>
          <w:rFonts w:ascii="Arial" w:hAnsi="Arial" w:cs="Arial"/>
          <w:sz w:val="24"/>
          <w:szCs w:val="24"/>
        </w:rPr>
        <w:t>Pode-se</w:t>
      </w:r>
      <w:r w:rsidR="00563996" w:rsidRPr="004725C1">
        <w:rPr>
          <w:rFonts w:ascii="Arial" w:hAnsi="Arial" w:cs="Arial"/>
          <w:sz w:val="24"/>
          <w:szCs w:val="24"/>
        </w:rPr>
        <w:t xml:space="preserve"> observar que o os municípios de Tramandaí e Imbé </w:t>
      </w:r>
      <w:r w:rsidR="00133489" w:rsidRPr="004725C1">
        <w:rPr>
          <w:rFonts w:ascii="Arial" w:hAnsi="Arial" w:cs="Arial"/>
          <w:sz w:val="24"/>
          <w:szCs w:val="24"/>
        </w:rPr>
        <w:t>apresentam uma grande movimentação</w:t>
      </w:r>
      <w:r w:rsidR="00DD1B90" w:rsidRPr="004725C1">
        <w:rPr>
          <w:rFonts w:ascii="Arial" w:hAnsi="Arial" w:cs="Arial"/>
          <w:sz w:val="24"/>
          <w:szCs w:val="24"/>
        </w:rPr>
        <w:t>,</w:t>
      </w:r>
      <w:r w:rsidR="00706414" w:rsidRPr="004725C1">
        <w:rPr>
          <w:rFonts w:ascii="Arial" w:hAnsi="Arial" w:cs="Arial"/>
          <w:sz w:val="24"/>
          <w:szCs w:val="24"/>
        </w:rPr>
        <w:t xml:space="preserve"> com o petróleo</w:t>
      </w:r>
      <w:r w:rsidR="00DD1B90" w:rsidRPr="004725C1">
        <w:rPr>
          <w:rFonts w:ascii="Arial" w:hAnsi="Arial" w:cs="Arial"/>
          <w:sz w:val="24"/>
          <w:szCs w:val="24"/>
        </w:rPr>
        <w:t xml:space="preserve"> </w:t>
      </w:r>
      <w:r w:rsidR="00707C7F" w:rsidRPr="004725C1">
        <w:rPr>
          <w:rFonts w:ascii="Arial" w:hAnsi="Arial" w:cs="Arial"/>
          <w:sz w:val="24"/>
          <w:szCs w:val="24"/>
        </w:rPr>
        <w:t xml:space="preserve">no qual </w:t>
      </w:r>
      <w:r w:rsidR="00690E26" w:rsidRPr="004725C1">
        <w:rPr>
          <w:rFonts w:ascii="Arial" w:hAnsi="Arial" w:cs="Arial"/>
          <w:sz w:val="24"/>
          <w:szCs w:val="24"/>
        </w:rPr>
        <w:t xml:space="preserve">Tramandaí </w:t>
      </w:r>
      <w:r w:rsidR="000D6D8A" w:rsidRPr="004725C1">
        <w:rPr>
          <w:rFonts w:ascii="Arial" w:hAnsi="Arial" w:cs="Arial"/>
          <w:sz w:val="24"/>
          <w:szCs w:val="24"/>
        </w:rPr>
        <w:t xml:space="preserve">por </w:t>
      </w:r>
      <w:r w:rsidR="00690E26" w:rsidRPr="004725C1">
        <w:rPr>
          <w:rFonts w:ascii="Arial" w:hAnsi="Arial" w:cs="Arial"/>
          <w:sz w:val="24"/>
          <w:szCs w:val="24"/>
        </w:rPr>
        <w:t xml:space="preserve">possuir </w:t>
      </w:r>
      <w:r w:rsidR="000D6D8A" w:rsidRPr="004725C1">
        <w:rPr>
          <w:rFonts w:ascii="Arial" w:hAnsi="Arial" w:cs="Arial"/>
          <w:sz w:val="24"/>
          <w:szCs w:val="24"/>
        </w:rPr>
        <w:t xml:space="preserve">constante descarregamento de petróleo para a </w:t>
      </w:r>
      <w:r w:rsidR="00690E26" w:rsidRPr="004725C1">
        <w:rPr>
          <w:rFonts w:ascii="Arial" w:hAnsi="Arial" w:cs="Arial"/>
          <w:sz w:val="24"/>
          <w:szCs w:val="24"/>
        </w:rPr>
        <w:t>monoboia</w:t>
      </w:r>
      <w:r w:rsidR="00DA6AD4" w:rsidRPr="004725C1">
        <w:rPr>
          <w:rFonts w:ascii="Arial" w:hAnsi="Arial" w:cs="Arial"/>
          <w:sz w:val="24"/>
          <w:szCs w:val="24"/>
        </w:rPr>
        <w:t xml:space="preserve"> da Transpetro</w:t>
      </w:r>
      <w:r w:rsidR="00343F5F" w:rsidRPr="004725C1">
        <w:rPr>
          <w:rFonts w:ascii="Arial" w:hAnsi="Arial" w:cs="Arial"/>
          <w:sz w:val="24"/>
          <w:szCs w:val="24"/>
        </w:rPr>
        <w:t xml:space="preserve"> </w:t>
      </w:r>
      <w:r w:rsidR="000D6D8A" w:rsidRPr="004725C1">
        <w:rPr>
          <w:rFonts w:ascii="Arial" w:hAnsi="Arial" w:cs="Arial"/>
          <w:sz w:val="24"/>
          <w:szCs w:val="24"/>
        </w:rPr>
        <w:t>e o de Imbé por apresentar</w:t>
      </w:r>
      <w:r w:rsidR="0042490E" w:rsidRPr="004725C1">
        <w:rPr>
          <w:rFonts w:ascii="Arial" w:hAnsi="Arial" w:cs="Arial"/>
          <w:sz w:val="24"/>
          <w:szCs w:val="24"/>
        </w:rPr>
        <w:t xml:space="preserve"> um Centro de Defesa Ambiental</w:t>
      </w:r>
      <w:r w:rsidR="004C6284" w:rsidRPr="004725C1">
        <w:rPr>
          <w:rFonts w:ascii="Arial" w:hAnsi="Arial" w:cs="Arial"/>
          <w:sz w:val="24"/>
          <w:szCs w:val="24"/>
        </w:rPr>
        <w:t xml:space="preserve"> (CDA</w:t>
      </w:r>
      <w:r w:rsidR="009D1028" w:rsidRPr="004725C1">
        <w:rPr>
          <w:rFonts w:ascii="Arial" w:hAnsi="Arial" w:cs="Arial"/>
          <w:sz w:val="24"/>
          <w:szCs w:val="24"/>
        </w:rPr>
        <w:t xml:space="preserve">), </w:t>
      </w:r>
      <w:r w:rsidR="0042490E" w:rsidRPr="004725C1">
        <w:rPr>
          <w:rFonts w:ascii="Arial" w:hAnsi="Arial" w:cs="Arial"/>
          <w:sz w:val="24"/>
          <w:szCs w:val="24"/>
        </w:rPr>
        <w:t xml:space="preserve">tem </w:t>
      </w:r>
      <w:r w:rsidR="004C6284" w:rsidRPr="004725C1">
        <w:rPr>
          <w:rFonts w:ascii="Arial" w:hAnsi="Arial" w:cs="Arial"/>
          <w:sz w:val="24"/>
          <w:szCs w:val="24"/>
        </w:rPr>
        <w:t>p</w:t>
      </w:r>
      <w:r w:rsidR="0042490E" w:rsidRPr="004725C1">
        <w:rPr>
          <w:rFonts w:ascii="Arial" w:hAnsi="Arial" w:cs="Arial"/>
          <w:sz w:val="24"/>
          <w:szCs w:val="24"/>
        </w:rPr>
        <w:t>o</w:t>
      </w:r>
      <w:r w:rsidR="004C6284" w:rsidRPr="004725C1">
        <w:rPr>
          <w:rFonts w:ascii="Arial" w:hAnsi="Arial" w:cs="Arial"/>
          <w:sz w:val="24"/>
          <w:szCs w:val="24"/>
        </w:rPr>
        <w:t>r</w:t>
      </w:r>
      <w:r w:rsidR="0042490E" w:rsidRPr="004725C1">
        <w:rPr>
          <w:rFonts w:ascii="Arial" w:hAnsi="Arial" w:cs="Arial"/>
          <w:sz w:val="24"/>
          <w:szCs w:val="24"/>
        </w:rPr>
        <w:t xml:space="preserve"> objetivo assegurar a máxima p</w:t>
      </w:r>
      <w:r w:rsidR="00044791" w:rsidRPr="004725C1">
        <w:rPr>
          <w:rFonts w:ascii="Arial" w:hAnsi="Arial" w:cs="Arial"/>
          <w:sz w:val="24"/>
          <w:szCs w:val="24"/>
        </w:rPr>
        <w:t>r</w:t>
      </w:r>
      <w:r w:rsidR="0042490E" w:rsidRPr="004725C1">
        <w:rPr>
          <w:rFonts w:ascii="Arial" w:hAnsi="Arial" w:cs="Arial"/>
          <w:sz w:val="24"/>
          <w:szCs w:val="24"/>
        </w:rPr>
        <w:t xml:space="preserve">oteção </w:t>
      </w:r>
      <w:r w:rsidR="00044791" w:rsidRPr="004725C1">
        <w:rPr>
          <w:rFonts w:ascii="Arial" w:hAnsi="Arial" w:cs="Arial"/>
          <w:sz w:val="24"/>
          <w:szCs w:val="24"/>
        </w:rPr>
        <w:t>para unidades operacionais de emergência</w:t>
      </w:r>
      <w:r w:rsidR="00707C7F" w:rsidRPr="004725C1">
        <w:rPr>
          <w:rFonts w:ascii="Arial" w:hAnsi="Arial" w:cs="Arial"/>
          <w:sz w:val="24"/>
          <w:szCs w:val="24"/>
        </w:rPr>
        <w:t xml:space="preserve"> e servi</w:t>
      </w:r>
      <w:r w:rsidR="00706414" w:rsidRPr="004725C1">
        <w:rPr>
          <w:rFonts w:ascii="Arial" w:hAnsi="Arial" w:cs="Arial"/>
          <w:sz w:val="24"/>
          <w:szCs w:val="24"/>
        </w:rPr>
        <w:t>r</w:t>
      </w:r>
      <w:r w:rsidR="00707C7F" w:rsidRPr="004725C1">
        <w:rPr>
          <w:rFonts w:ascii="Arial" w:hAnsi="Arial" w:cs="Arial"/>
          <w:sz w:val="24"/>
          <w:szCs w:val="24"/>
        </w:rPr>
        <w:t xml:space="preserve"> de </w:t>
      </w:r>
      <w:r w:rsidR="00706414" w:rsidRPr="004725C1">
        <w:rPr>
          <w:rFonts w:ascii="Arial" w:hAnsi="Arial" w:cs="Arial"/>
          <w:sz w:val="24"/>
          <w:szCs w:val="24"/>
        </w:rPr>
        <w:t>apoio aos</w:t>
      </w:r>
      <w:r w:rsidR="00707C7F" w:rsidRPr="004725C1">
        <w:rPr>
          <w:rFonts w:ascii="Arial" w:hAnsi="Arial" w:cs="Arial"/>
          <w:sz w:val="24"/>
          <w:szCs w:val="24"/>
        </w:rPr>
        <w:t xml:space="preserve"> planos de contingência</w:t>
      </w:r>
      <w:r w:rsidR="00706414" w:rsidRPr="004725C1">
        <w:rPr>
          <w:rFonts w:ascii="Arial" w:hAnsi="Arial" w:cs="Arial"/>
          <w:sz w:val="24"/>
          <w:szCs w:val="24"/>
        </w:rPr>
        <w:t xml:space="preserve">. </w:t>
      </w:r>
      <w:r w:rsidR="009D1028" w:rsidRPr="004725C1">
        <w:rPr>
          <w:rFonts w:ascii="Arial" w:hAnsi="Arial" w:cs="Arial"/>
          <w:sz w:val="24"/>
          <w:szCs w:val="24"/>
        </w:rPr>
        <w:t>O</w:t>
      </w:r>
      <w:r w:rsidR="00706414" w:rsidRPr="004725C1">
        <w:rPr>
          <w:rFonts w:ascii="Arial" w:hAnsi="Arial" w:cs="Arial"/>
          <w:sz w:val="24"/>
          <w:szCs w:val="24"/>
        </w:rPr>
        <w:t>utra</w:t>
      </w:r>
      <w:r w:rsidR="00743617" w:rsidRPr="004725C1">
        <w:rPr>
          <w:rFonts w:ascii="Arial" w:hAnsi="Arial" w:cs="Arial"/>
          <w:sz w:val="24"/>
          <w:szCs w:val="24"/>
        </w:rPr>
        <w:t>s</w:t>
      </w:r>
      <w:r w:rsidR="00706414" w:rsidRPr="004725C1">
        <w:rPr>
          <w:rFonts w:ascii="Arial" w:hAnsi="Arial" w:cs="Arial"/>
          <w:sz w:val="24"/>
          <w:szCs w:val="24"/>
        </w:rPr>
        <w:t xml:space="preserve"> características que os dois municípios </w:t>
      </w:r>
      <w:r w:rsidR="009D1028" w:rsidRPr="004725C1">
        <w:rPr>
          <w:rFonts w:ascii="Arial" w:hAnsi="Arial" w:cs="Arial"/>
          <w:sz w:val="24"/>
          <w:szCs w:val="24"/>
        </w:rPr>
        <w:t xml:space="preserve">apresentam, </w:t>
      </w:r>
      <w:r w:rsidR="006B0007" w:rsidRPr="004725C1">
        <w:rPr>
          <w:rFonts w:ascii="Arial" w:hAnsi="Arial" w:cs="Arial"/>
          <w:sz w:val="24"/>
          <w:szCs w:val="24"/>
        </w:rPr>
        <w:t>são</w:t>
      </w:r>
      <w:r w:rsidR="00743617" w:rsidRPr="004725C1">
        <w:rPr>
          <w:rFonts w:ascii="Arial" w:hAnsi="Arial" w:cs="Arial"/>
          <w:sz w:val="24"/>
          <w:szCs w:val="24"/>
        </w:rPr>
        <w:t xml:space="preserve"> </w:t>
      </w:r>
      <w:r w:rsidR="006B0007" w:rsidRPr="004725C1">
        <w:rPr>
          <w:rFonts w:ascii="Arial" w:hAnsi="Arial" w:cs="Arial"/>
          <w:sz w:val="24"/>
          <w:szCs w:val="24"/>
        </w:rPr>
        <w:t>a quantidade elevada</w:t>
      </w:r>
      <w:r w:rsidR="00743617" w:rsidRPr="004725C1">
        <w:rPr>
          <w:rFonts w:ascii="Arial" w:hAnsi="Arial" w:cs="Arial"/>
          <w:sz w:val="24"/>
          <w:szCs w:val="24"/>
        </w:rPr>
        <w:t xml:space="preserve"> de hotéis, pousadas e campings</w:t>
      </w:r>
      <w:r w:rsidR="006007B5" w:rsidRPr="004725C1">
        <w:rPr>
          <w:rFonts w:ascii="Arial" w:hAnsi="Arial" w:cs="Arial"/>
          <w:sz w:val="24"/>
          <w:szCs w:val="24"/>
        </w:rPr>
        <w:t>, que atendem uma grande demanda no período de veraneio, período de dezembro</w:t>
      </w:r>
      <w:r w:rsidR="009D1028" w:rsidRPr="004725C1">
        <w:rPr>
          <w:rFonts w:ascii="Arial" w:hAnsi="Arial" w:cs="Arial"/>
          <w:sz w:val="24"/>
          <w:szCs w:val="24"/>
        </w:rPr>
        <w:t>/março</w:t>
      </w:r>
      <w:r w:rsidR="00FD1703" w:rsidRPr="004725C1">
        <w:rPr>
          <w:rFonts w:ascii="Arial" w:hAnsi="Arial" w:cs="Arial"/>
          <w:sz w:val="24"/>
          <w:szCs w:val="24"/>
        </w:rPr>
        <w:t>. Alem disto podemos destacar outra característica é o nu</w:t>
      </w:r>
      <w:r w:rsidR="006B0007" w:rsidRPr="004725C1">
        <w:rPr>
          <w:rFonts w:ascii="Arial" w:hAnsi="Arial" w:cs="Arial"/>
          <w:sz w:val="24"/>
          <w:szCs w:val="24"/>
        </w:rPr>
        <w:t>mero grande pescadore</w:t>
      </w:r>
      <w:r w:rsidR="00F8259E" w:rsidRPr="004725C1">
        <w:rPr>
          <w:rFonts w:ascii="Arial" w:hAnsi="Arial" w:cs="Arial"/>
          <w:sz w:val="24"/>
          <w:szCs w:val="24"/>
        </w:rPr>
        <w:t>s</w:t>
      </w:r>
      <w:r w:rsidR="007818BA" w:rsidRPr="004725C1">
        <w:rPr>
          <w:rFonts w:ascii="Arial" w:hAnsi="Arial" w:cs="Arial"/>
          <w:sz w:val="24"/>
          <w:szCs w:val="24"/>
        </w:rPr>
        <w:t xml:space="preserve"> artesanais que dependem diretamente da pesca para </w:t>
      </w:r>
      <w:r w:rsidR="007C3CD8" w:rsidRPr="004725C1">
        <w:rPr>
          <w:rFonts w:ascii="Arial" w:hAnsi="Arial" w:cs="Arial"/>
          <w:sz w:val="24"/>
          <w:szCs w:val="24"/>
        </w:rPr>
        <w:t>o desenvolvimento de suas</w:t>
      </w:r>
      <w:r w:rsidR="007818BA" w:rsidRPr="004725C1">
        <w:rPr>
          <w:rFonts w:ascii="Arial" w:hAnsi="Arial" w:cs="Arial"/>
          <w:sz w:val="24"/>
          <w:szCs w:val="24"/>
        </w:rPr>
        <w:t xml:space="preserve"> </w:t>
      </w:r>
      <w:r w:rsidR="004725C1" w:rsidRPr="004725C1">
        <w:rPr>
          <w:rFonts w:ascii="Arial" w:hAnsi="Arial" w:cs="Arial"/>
          <w:sz w:val="24"/>
          <w:szCs w:val="24"/>
        </w:rPr>
        <w:t xml:space="preserve">atividades econômicas. </w:t>
      </w:r>
    </w:p>
    <w:p w:rsidR="00E64E0F" w:rsidRDefault="00E64E0F" w:rsidP="00E64E0F">
      <w:pPr>
        <w:pStyle w:val="Ttulodaseoprimria"/>
        <w:jc w:val="left"/>
      </w:pPr>
      <w:r w:rsidRPr="00D8090F">
        <w:t>REFERÊNCIAS</w:t>
      </w:r>
    </w:p>
    <w:p w:rsidR="00E64E0F" w:rsidRDefault="00E64E0F" w:rsidP="00E64E0F">
      <w:pPr>
        <w:pStyle w:val="Ttulodaseoprimria"/>
        <w:jc w:val="left"/>
      </w:pPr>
    </w:p>
    <w:p w:rsidR="005A75C8" w:rsidRDefault="00E64E0F" w:rsidP="0080262D">
      <w:pPr>
        <w:pStyle w:val="Ttulodaseoprimria"/>
      </w:pPr>
      <w:r w:rsidRPr="0046436D">
        <w:rPr>
          <w:b w:val="0"/>
        </w:rPr>
        <w:t>MINISTERIO</w:t>
      </w:r>
      <w:r>
        <w:rPr>
          <w:b w:val="0"/>
        </w:rPr>
        <w:t xml:space="preserve"> do Meio Ambiente- MMA. 2012</w:t>
      </w:r>
      <w:r w:rsidRPr="0046436D">
        <w:rPr>
          <w:b w:val="0"/>
          <w:color w:val="000000" w:themeColor="text1"/>
          <w:sz w:val="24"/>
        </w:rPr>
        <w:t>.</w:t>
      </w:r>
      <w:r w:rsidRPr="0046436D">
        <w:rPr>
          <w:rFonts w:ascii="Verdana" w:eastAsiaTheme="minorHAnsi" w:hAnsi="Verdana" w:cstheme="minorBidi"/>
          <w:bCs/>
          <w:color w:val="000000" w:themeColor="text1"/>
          <w:kern w:val="0"/>
          <w:sz w:val="24"/>
          <w:lang w:eastAsia="en-US"/>
        </w:rPr>
        <w:t xml:space="preserve"> </w:t>
      </w:r>
      <w:r w:rsidRPr="0046436D">
        <w:rPr>
          <w:bCs/>
          <w:color w:val="000000" w:themeColor="text1"/>
          <w:sz w:val="24"/>
        </w:rPr>
        <w:t>Mapeamento de Sensibilidade Ambiental ao Óleo da Zona Costeira e Marinha</w:t>
      </w:r>
      <w:r w:rsidR="00F82032">
        <w:rPr>
          <w:b w:val="0"/>
          <w:bCs/>
          <w:color w:val="000000" w:themeColor="text1"/>
          <w:sz w:val="24"/>
        </w:rPr>
        <w:t>. Disponível em:</w:t>
      </w:r>
      <w:r>
        <w:rPr>
          <w:b w:val="0"/>
          <w:bCs/>
          <w:color w:val="000000" w:themeColor="text1"/>
          <w:sz w:val="24"/>
        </w:rPr>
        <w:t>&lt;</w:t>
      </w:r>
      <w:hyperlink r:id="rId7" w:history="1">
        <w:r w:rsidRPr="00F82032">
          <w:rPr>
            <w:rStyle w:val="Hyperlink"/>
            <w:b w:val="0"/>
            <w:bCs/>
            <w:color w:val="000000" w:themeColor="text1"/>
            <w:sz w:val="24"/>
            <w:u w:val="none"/>
          </w:rPr>
          <w:t>http://www.mma.gov.br/seguranca-quimica/cartas-de-sensibilidade-ao-oleo</w:t>
        </w:r>
      </w:hyperlink>
      <w:r>
        <w:rPr>
          <w:b w:val="0"/>
          <w:bCs/>
          <w:color w:val="000000" w:themeColor="text1"/>
          <w:sz w:val="24"/>
        </w:rPr>
        <w:t>&gt; Acessado em: 20 de Junho de 2013 as 16h43min.</w:t>
      </w:r>
    </w:p>
    <w:sectPr w:rsidR="005A75C8" w:rsidSect="00D064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0F" w:rsidRDefault="00E64E0F" w:rsidP="00E64E0F">
      <w:pPr>
        <w:spacing w:after="0" w:line="240" w:lineRule="auto"/>
      </w:pPr>
      <w:r>
        <w:separator/>
      </w:r>
    </w:p>
  </w:endnote>
  <w:endnote w:type="continuationSeparator" w:id="1">
    <w:p w:rsidR="00E64E0F" w:rsidRDefault="00E64E0F" w:rsidP="00E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0F" w:rsidRDefault="00E64E0F" w:rsidP="00E64E0F">
      <w:pPr>
        <w:spacing w:after="0" w:line="240" w:lineRule="auto"/>
      </w:pPr>
      <w:r>
        <w:separator/>
      </w:r>
    </w:p>
  </w:footnote>
  <w:footnote w:type="continuationSeparator" w:id="1">
    <w:p w:rsidR="00E64E0F" w:rsidRDefault="00E64E0F" w:rsidP="00E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0F" w:rsidRDefault="00E64E0F">
    <w:pPr>
      <w:pStyle w:val="Cabealho"/>
    </w:pPr>
    <w:r w:rsidRPr="00E64E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-211455</wp:posOffset>
          </wp:positionV>
          <wp:extent cx="2466975" cy="581025"/>
          <wp:effectExtent l="19050" t="0" r="9525" b="0"/>
          <wp:wrapNone/>
          <wp:docPr id="2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0F"/>
    <w:rsid w:val="00001087"/>
    <w:rsid w:val="00002DEB"/>
    <w:rsid w:val="00021DF2"/>
    <w:rsid w:val="00044791"/>
    <w:rsid w:val="000D6D8A"/>
    <w:rsid w:val="00117D31"/>
    <w:rsid w:val="00133489"/>
    <w:rsid w:val="00187679"/>
    <w:rsid w:val="00187708"/>
    <w:rsid w:val="00230F89"/>
    <w:rsid w:val="002466A5"/>
    <w:rsid w:val="00272808"/>
    <w:rsid w:val="002B19AF"/>
    <w:rsid w:val="002E15DD"/>
    <w:rsid w:val="00311C17"/>
    <w:rsid w:val="00332ED5"/>
    <w:rsid w:val="00343F5F"/>
    <w:rsid w:val="00375DE4"/>
    <w:rsid w:val="003F7878"/>
    <w:rsid w:val="00404516"/>
    <w:rsid w:val="00407F54"/>
    <w:rsid w:val="0042490E"/>
    <w:rsid w:val="0045352D"/>
    <w:rsid w:val="004725C1"/>
    <w:rsid w:val="004C6226"/>
    <w:rsid w:val="004C6284"/>
    <w:rsid w:val="00522DC3"/>
    <w:rsid w:val="0052706B"/>
    <w:rsid w:val="0054716C"/>
    <w:rsid w:val="00563996"/>
    <w:rsid w:val="005A75C8"/>
    <w:rsid w:val="005B3323"/>
    <w:rsid w:val="005B7FBA"/>
    <w:rsid w:val="005C6791"/>
    <w:rsid w:val="005F536D"/>
    <w:rsid w:val="006007B5"/>
    <w:rsid w:val="00660E63"/>
    <w:rsid w:val="00690E26"/>
    <w:rsid w:val="006B0007"/>
    <w:rsid w:val="006B6DED"/>
    <w:rsid w:val="00706414"/>
    <w:rsid w:val="00707C7F"/>
    <w:rsid w:val="007224DE"/>
    <w:rsid w:val="00743617"/>
    <w:rsid w:val="00754E46"/>
    <w:rsid w:val="007818BA"/>
    <w:rsid w:val="007C3CD8"/>
    <w:rsid w:val="007F07B4"/>
    <w:rsid w:val="0080262D"/>
    <w:rsid w:val="00862C15"/>
    <w:rsid w:val="008F466C"/>
    <w:rsid w:val="00912A2D"/>
    <w:rsid w:val="0097093C"/>
    <w:rsid w:val="0098729F"/>
    <w:rsid w:val="009D1028"/>
    <w:rsid w:val="009F69FD"/>
    <w:rsid w:val="00A05663"/>
    <w:rsid w:val="00AB5E2F"/>
    <w:rsid w:val="00B159E3"/>
    <w:rsid w:val="00BB062D"/>
    <w:rsid w:val="00BC5022"/>
    <w:rsid w:val="00BF0CA3"/>
    <w:rsid w:val="00C54874"/>
    <w:rsid w:val="00D064A2"/>
    <w:rsid w:val="00D21DE1"/>
    <w:rsid w:val="00D51F23"/>
    <w:rsid w:val="00D53109"/>
    <w:rsid w:val="00DA6AD4"/>
    <w:rsid w:val="00DB39DB"/>
    <w:rsid w:val="00DD1B90"/>
    <w:rsid w:val="00E63CFE"/>
    <w:rsid w:val="00E64E0F"/>
    <w:rsid w:val="00E744D6"/>
    <w:rsid w:val="00E76F89"/>
    <w:rsid w:val="00E83519"/>
    <w:rsid w:val="00EA16EB"/>
    <w:rsid w:val="00EB698B"/>
    <w:rsid w:val="00ED637E"/>
    <w:rsid w:val="00F82032"/>
    <w:rsid w:val="00F8259E"/>
    <w:rsid w:val="00FB4772"/>
    <w:rsid w:val="00FC305A"/>
    <w:rsid w:val="00FD095E"/>
    <w:rsid w:val="00FD1703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0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4E0F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Ttulodaseoprimria">
    <w:name w:val="Título da seção primária"/>
    <w:basedOn w:val="Normal"/>
    <w:qFormat/>
    <w:rsid w:val="00E64E0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4E0F"/>
    <w:rPr>
      <w:b/>
      <w:bCs/>
    </w:rPr>
  </w:style>
  <w:style w:type="character" w:styleId="Hyperlink">
    <w:name w:val="Hyperlink"/>
    <w:basedOn w:val="Fontepargpadro"/>
    <w:uiPriority w:val="99"/>
    <w:unhideWhenUsed/>
    <w:rsid w:val="00E64E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6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4E0F"/>
  </w:style>
  <w:style w:type="paragraph" w:styleId="Rodap">
    <w:name w:val="footer"/>
    <w:basedOn w:val="Normal"/>
    <w:link w:val="RodapChar"/>
    <w:uiPriority w:val="99"/>
    <w:semiHidden/>
    <w:unhideWhenUsed/>
    <w:rsid w:val="00E6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4E0F"/>
  </w:style>
  <w:style w:type="paragraph" w:customStyle="1" w:styleId="Tabla-Texto">
    <w:name w:val="Tabla-Texto"/>
    <w:basedOn w:val="Normal"/>
    <w:rsid w:val="00404516"/>
    <w:pPr>
      <w:suppressAutoHyphens/>
      <w:spacing w:before="20" w:after="20" w:line="240" w:lineRule="auto"/>
      <w:ind w:firstLine="709"/>
      <w:jc w:val="both"/>
    </w:pPr>
    <w:rPr>
      <w:rFonts w:ascii="Arial" w:eastAsia="Times New Roman" w:hAnsi="Arial" w:cs="Times New Roman"/>
      <w:sz w:val="18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ma.gov.br/seguranca-quimica/cartas-de-sensibilidade-ao-ol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br/url?sa=t&amp;rct=j&amp;q=&amp;esrc=s&amp;source=web&amp;cd=1&amp;cad=rja&amp;ved=0CC4QFjAA&amp;url=http%3A%2F%2Fwww.facebook.com%2Fakauakrack&amp;ei=NKzEUfSMLYqY0QHtrYCAAQ&amp;usg=AFQjCNFKXO0JP4R1XKMLSHpYX-lV5R3rww&amp;sig2=yGyfxbuLKhCrBqmCCAE3sA&amp;bvm=bv.48293060,d.dm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2013-07-01T23:54:00Z</dcterms:created>
  <dcterms:modified xsi:type="dcterms:W3CDTF">2013-07-02T00:24:00Z</dcterms:modified>
</cp:coreProperties>
</file>