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A8" w:rsidRDefault="00994CD4" w:rsidP="002019A8">
      <w:pPr>
        <w:ind w:firstLine="0"/>
        <w:jc w:val="right"/>
        <w:rPr>
          <w:b/>
        </w:rPr>
      </w:pPr>
      <w:r w:rsidRPr="00994CD4">
        <w:rPr>
          <w:b/>
        </w:rPr>
        <w:t>OBTEN</w:t>
      </w:r>
      <w:r w:rsidR="001802E3">
        <w:rPr>
          <w:b/>
        </w:rPr>
        <w:t>ÇÃO E CARACTERIZAÇÃO DE ISOLADO PROTEICO</w:t>
      </w:r>
      <w:r w:rsidRPr="00994CD4">
        <w:rPr>
          <w:b/>
        </w:rPr>
        <w:t xml:space="preserve"> E PROTEINAS MIOFIBRILARES DE CASTANHA (</w:t>
      </w:r>
      <w:proofErr w:type="spellStart"/>
      <w:r w:rsidRPr="00994CD4">
        <w:rPr>
          <w:b/>
        </w:rPr>
        <w:t>Umbrina</w:t>
      </w:r>
      <w:proofErr w:type="spellEnd"/>
      <w:r w:rsidRPr="00994CD4">
        <w:rPr>
          <w:b/>
        </w:rPr>
        <w:t xml:space="preserve"> </w:t>
      </w:r>
      <w:proofErr w:type="spellStart"/>
      <w:r w:rsidRPr="00994CD4">
        <w:rPr>
          <w:b/>
        </w:rPr>
        <w:t>canosai</w:t>
      </w:r>
      <w:proofErr w:type="spellEnd"/>
      <w:r w:rsidRPr="00994CD4">
        <w:rPr>
          <w:b/>
        </w:rPr>
        <w:t>)</w:t>
      </w:r>
    </w:p>
    <w:p w:rsidR="002019A8" w:rsidRDefault="002019A8" w:rsidP="002019A8">
      <w:pPr>
        <w:ind w:firstLine="0"/>
        <w:jc w:val="right"/>
        <w:rPr>
          <w:b/>
        </w:rPr>
      </w:pPr>
    </w:p>
    <w:p w:rsidR="002019A8" w:rsidRDefault="002019A8" w:rsidP="002019A8">
      <w:pPr>
        <w:ind w:firstLine="0"/>
        <w:jc w:val="right"/>
        <w:rPr>
          <w:b/>
        </w:rPr>
      </w:pPr>
      <w:r>
        <w:rPr>
          <w:b/>
        </w:rPr>
        <w:t>C</w:t>
      </w:r>
      <w:r w:rsidR="00994CD4">
        <w:rPr>
          <w:b/>
        </w:rPr>
        <w:t>ARDOZO</w:t>
      </w:r>
      <w:r>
        <w:rPr>
          <w:b/>
        </w:rPr>
        <w:t>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Marília</w:t>
      </w:r>
      <w:r w:rsidR="001B15F6">
        <w:rPr>
          <w:b/>
        </w:rPr>
        <w:t>, A.</w:t>
      </w:r>
      <w:r>
        <w:rPr>
          <w:b/>
        </w:rPr>
        <w:t xml:space="preserve">     </w:t>
      </w:r>
    </w:p>
    <w:p w:rsidR="002019A8" w:rsidRDefault="002019A8" w:rsidP="002019A8">
      <w:pPr>
        <w:ind w:firstLine="0"/>
        <w:jc w:val="right"/>
        <w:rPr>
          <w:b/>
        </w:rPr>
      </w:pPr>
      <w:r>
        <w:rPr>
          <w:b/>
        </w:rPr>
        <w:t>R</w:t>
      </w:r>
      <w:r w:rsidR="00994CD4">
        <w:rPr>
          <w:b/>
        </w:rPr>
        <w:t>OCHA</w:t>
      </w:r>
      <w:r>
        <w:rPr>
          <w:b/>
        </w:rPr>
        <w:t xml:space="preserve">, </w:t>
      </w:r>
      <w:proofErr w:type="spellStart"/>
      <w:r>
        <w:rPr>
          <w:b/>
        </w:rPr>
        <w:t>Meritaine</w:t>
      </w:r>
      <w:proofErr w:type="spellEnd"/>
    </w:p>
    <w:p w:rsidR="002019A8" w:rsidRDefault="002019A8" w:rsidP="002019A8">
      <w:pPr>
        <w:ind w:firstLine="0"/>
        <w:jc w:val="right"/>
        <w:rPr>
          <w:b/>
        </w:rPr>
      </w:pPr>
      <w:r>
        <w:rPr>
          <w:b/>
        </w:rPr>
        <w:t xml:space="preserve"> R</w:t>
      </w:r>
      <w:r w:rsidR="00994CD4">
        <w:rPr>
          <w:b/>
        </w:rPr>
        <w:t>AFFI</w:t>
      </w:r>
      <w:r>
        <w:rPr>
          <w:b/>
        </w:rPr>
        <w:t>, Júlia</w:t>
      </w:r>
      <w:r w:rsidR="001B15F6">
        <w:rPr>
          <w:b/>
        </w:rPr>
        <w:t>, E.</w:t>
      </w:r>
    </w:p>
    <w:p w:rsidR="001B15F6" w:rsidRDefault="001B15F6" w:rsidP="002019A8">
      <w:pPr>
        <w:ind w:firstLine="0"/>
        <w:jc w:val="right"/>
        <w:rPr>
          <w:b/>
        </w:rPr>
      </w:pPr>
      <w:r>
        <w:rPr>
          <w:b/>
        </w:rPr>
        <w:t>S</w:t>
      </w:r>
      <w:r w:rsidR="00994CD4">
        <w:rPr>
          <w:b/>
        </w:rPr>
        <w:t>OUZA</w:t>
      </w:r>
      <w:r>
        <w:rPr>
          <w:b/>
        </w:rPr>
        <w:t>, Michele, M.</w:t>
      </w:r>
    </w:p>
    <w:p w:rsidR="002019A8" w:rsidRDefault="002019A8" w:rsidP="002019A8">
      <w:pPr>
        <w:ind w:firstLine="0"/>
        <w:jc w:val="right"/>
        <w:rPr>
          <w:b/>
        </w:rPr>
      </w:pPr>
      <w:r>
        <w:rPr>
          <w:b/>
        </w:rPr>
        <w:t>PRENTICE, Carlos</w:t>
      </w:r>
    </w:p>
    <w:p w:rsidR="002019A8" w:rsidRDefault="002019A8" w:rsidP="002019A8">
      <w:pPr>
        <w:ind w:firstLine="0"/>
        <w:jc w:val="right"/>
        <w:rPr>
          <w:b/>
        </w:rPr>
      </w:pPr>
      <w:r>
        <w:rPr>
          <w:b/>
        </w:rPr>
        <w:t>marilia.cardozo@yahoo.com.br</w:t>
      </w:r>
    </w:p>
    <w:p w:rsidR="002019A8" w:rsidRDefault="002019A8" w:rsidP="002019A8">
      <w:pPr>
        <w:ind w:firstLine="0"/>
        <w:jc w:val="right"/>
        <w:rPr>
          <w:b/>
        </w:rPr>
      </w:pPr>
    </w:p>
    <w:p w:rsidR="002019A8" w:rsidRDefault="002019A8" w:rsidP="002019A8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1B15F6">
        <w:rPr>
          <w:b/>
        </w:rPr>
        <w:t xml:space="preserve">13ª Mostra de Produção Universitária </w:t>
      </w:r>
    </w:p>
    <w:p w:rsidR="002019A8" w:rsidRDefault="002019A8" w:rsidP="002019A8">
      <w:pPr>
        <w:ind w:firstLine="0"/>
        <w:jc w:val="right"/>
        <w:rPr>
          <w:b/>
        </w:rPr>
      </w:pPr>
      <w:r>
        <w:rPr>
          <w:b/>
        </w:rPr>
        <w:t xml:space="preserve">Área do conhecimento: </w:t>
      </w:r>
      <w:r w:rsidR="001802E3">
        <w:rPr>
          <w:b/>
        </w:rPr>
        <w:t xml:space="preserve">Ciências Agrárias </w:t>
      </w:r>
    </w:p>
    <w:p w:rsidR="002019A8" w:rsidRDefault="002019A8" w:rsidP="002019A8">
      <w:pPr>
        <w:ind w:firstLine="0"/>
        <w:jc w:val="right"/>
        <w:rPr>
          <w:b/>
        </w:rPr>
      </w:pPr>
    </w:p>
    <w:p w:rsidR="002019A8" w:rsidRDefault="002019A8" w:rsidP="002019A8">
      <w:pPr>
        <w:ind w:firstLine="0"/>
        <w:rPr>
          <w:b/>
        </w:rPr>
      </w:pPr>
      <w:r>
        <w:rPr>
          <w:b/>
        </w:rPr>
        <w:t xml:space="preserve">Palavras-chave: </w:t>
      </w:r>
      <w:r>
        <w:t xml:space="preserve">Isolado, Proteína, </w:t>
      </w:r>
      <w:proofErr w:type="gramStart"/>
      <w:r>
        <w:t>Castanha</w:t>
      </w:r>
      <w:proofErr w:type="gramEnd"/>
    </w:p>
    <w:p w:rsidR="002019A8" w:rsidRDefault="002019A8" w:rsidP="002019A8">
      <w:pPr>
        <w:pStyle w:val="Ttulodaseoprimria"/>
      </w:pPr>
    </w:p>
    <w:p w:rsidR="002019A8" w:rsidRDefault="002019A8" w:rsidP="00994CD4">
      <w:pPr>
        <w:pStyle w:val="Ttulodaseoprimria"/>
      </w:pPr>
      <w:proofErr w:type="gramStart"/>
      <w:r>
        <w:t>1</w:t>
      </w:r>
      <w:proofErr w:type="gramEnd"/>
      <w:r>
        <w:t xml:space="preserve"> INTRODUÇÃO</w:t>
      </w:r>
    </w:p>
    <w:p w:rsidR="002019A8" w:rsidRDefault="00994CD4" w:rsidP="002019A8">
      <w:r>
        <w:rPr>
          <w:rFonts w:cs="Arial"/>
        </w:rPr>
        <w:t xml:space="preserve">O porto do Rio Grande, o maior centro pesqueiro do Rio Grande do Sul, </w:t>
      </w:r>
      <w:r w:rsidR="001802E3">
        <w:rPr>
          <w:rFonts w:cs="Arial"/>
        </w:rPr>
        <w:t>recebe</w:t>
      </w:r>
      <w:r>
        <w:rPr>
          <w:rFonts w:cs="Arial"/>
        </w:rPr>
        <w:t xml:space="preserve"> uma ampla gama de espécies de pescado de baixo valor comercial, tal como a castanha (</w:t>
      </w:r>
      <w:proofErr w:type="spellStart"/>
      <w:r>
        <w:rPr>
          <w:rFonts w:cs="Arial"/>
          <w:i/>
        </w:rPr>
        <w:t>Umbrina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canosai</w:t>
      </w:r>
      <w:proofErr w:type="spellEnd"/>
      <w:r>
        <w:rPr>
          <w:rFonts w:cs="Arial"/>
        </w:rPr>
        <w:t>), que podem ser estudadas com a finalidade de transformar essa matéria-prima em produtos de alto valor agregado, como os isolados proteicos (CENTENARO, 2011)</w:t>
      </w:r>
      <w:r>
        <w:t xml:space="preserve">. </w:t>
      </w:r>
      <w:r w:rsidR="001802E3">
        <w:t xml:space="preserve">Assim o </w:t>
      </w:r>
      <w:r>
        <w:t xml:space="preserve">objetivo do presente trabalho foi </w:t>
      </w:r>
      <w:proofErr w:type="gramStart"/>
      <w:r>
        <w:t>a</w:t>
      </w:r>
      <w:proofErr w:type="gramEnd"/>
      <w:r>
        <w:t xml:space="preserve"> obtenção e caracterização de isolados proteicos e proteínas miofibrilares </w:t>
      </w:r>
      <w:r w:rsidR="001802E3">
        <w:t>provenientes de</w:t>
      </w:r>
      <w:r>
        <w:t xml:space="preserve"> castanha.</w:t>
      </w:r>
    </w:p>
    <w:p w:rsidR="00994CD4" w:rsidRDefault="00994CD4" w:rsidP="002019A8"/>
    <w:p w:rsidR="002019A8" w:rsidRDefault="002019A8" w:rsidP="002019A8">
      <w:pPr>
        <w:ind w:firstLine="0"/>
        <w:jc w:val="left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REFERENCIAL TEÓRICO</w:t>
      </w:r>
    </w:p>
    <w:p w:rsidR="00994CD4" w:rsidRDefault="00994CD4" w:rsidP="00994CD4">
      <w:pPr>
        <w:pStyle w:val="Ttulodaseoprimria"/>
        <w:rPr>
          <w:sz w:val="24"/>
        </w:rPr>
      </w:pPr>
      <w:r>
        <w:rPr>
          <w:sz w:val="24"/>
        </w:rPr>
        <w:t>2.1 Proteínas de pescado</w:t>
      </w:r>
    </w:p>
    <w:p w:rsidR="00994CD4" w:rsidRDefault="00994CD4" w:rsidP="00994CD4">
      <w:pPr>
        <w:pStyle w:val="Ttulodaseoprimria"/>
        <w:ind w:firstLine="709"/>
        <w:rPr>
          <w:b w:val="0"/>
          <w:sz w:val="24"/>
        </w:rPr>
      </w:pPr>
      <w:r>
        <w:rPr>
          <w:rFonts w:cs="Arial"/>
          <w:b w:val="0"/>
          <w:sz w:val="24"/>
        </w:rPr>
        <w:t>As proteínas do pescado, dependendo de sua solubilidade podem ser divididas em sarcoplasmáticas, miofibrilares e insolúveis ou do estroma. O grupo de proteínas miofibrilares ocupa lugar de grande importância do ponto de vista nutritivo e também tecnológico.</w:t>
      </w:r>
      <w:r>
        <w:rPr>
          <w:b w:val="0"/>
          <w:sz w:val="24"/>
        </w:rPr>
        <w:t xml:space="preserve"> O isolado proteico de pescado (IPP) é um produto obtido através da solubilização ácida ou alcalina seguida de precipitação isoelétrica da proteína, a partir de re</w:t>
      </w:r>
      <w:r w:rsidR="001802E3">
        <w:rPr>
          <w:b w:val="0"/>
          <w:sz w:val="24"/>
        </w:rPr>
        <w:t>síduos de pescado ou de pescado inteiro</w:t>
      </w:r>
      <w:r>
        <w:rPr>
          <w:b w:val="0"/>
          <w:sz w:val="24"/>
        </w:rPr>
        <w:t xml:space="preserve"> (NOLSOE; UNDELAND, 2009). As proteínas miofibrilares podem ser obtidas através de sucessivas lavagens em água ou solução salina diluída para a remoção das proteínas sarcoplasmáticas, de estroma e também de lipídeos.</w:t>
      </w:r>
    </w:p>
    <w:p w:rsidR="00994CD4" w:rsidRDefault="00994CD4" w:rsidP="00994CD4">
      <w:pPr>
        <w:pStyle w:val="Ttulodaseoprimria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2019A8" w:rsidRDefault="001802E3" w:rsidP="00A16215">
      <w:pPr>
        <w:pStyle w:val="Ttulodaseoprimria"/>
      </w:pPr>
      <w:proofErr w:type="gramStart"/>
      <w:r>
        <w:t>3</w:t>
      </w:r>
      <w:proofErr w:type="gramEnd"/>
      <w:r>
        <w:t xml:space="preserve"> MATERIAL</w:t>
      </w:r>
      <w:r w:rsidR="002019A8">
        <w:t xml:space="preserve"> E MÉTODOS (ou PROCEDIMENTO METODOLÓGICO)</w:t>
      </w:r>
    </w:p>
    <w:p w:rsidR="001802E3" w:rsidRDefault="002019A8" w:rsidP="001802E3">
      <w:pPr>
        <w:pStyle w:val="Ttulodaseoprimria"/>
        <w:rPr>
          <w:sz w:val="24"/>
        </w:rPr>
      </w:pPr>
      <w:r>
        <w:rPr>
          <w:sz w:val="24"/>
        </w:rPr>
        <w:t>3.1 MATERIAIS</w:t>
      </w:r>
    </w:p>
    <w:p w:rsidR="00994CD4" w:rsidRPr="001802E3" w:rsidRDefault="00994CD4" w:rsidP="001802E3">
      <w:pPr>
        <w:pStyle w:val="Ttulodaseoprimria"/>
        <w:ind w:firstLine="709"/>
        <w:rPr>
          <w:sz w:val="24"/>
        </w:rPr>
      </w:pPr>
      <w:r w:rsidRPr="0041624C">
        <w:rPr>
          <w:b w:val="0"/>
          <w:sz w:val="24"/>
        </w:rPr>
        <w:t>Os filés de castanha (</w:t>
      </w:r>
      <w:proofErr w:type="spellStart"/>
      <w:r w:rsidRPr="0041624C">
        <w:rPr>
          <w:b w:val="0"/>
          <w:i/>
          <w:sz w:val="24"/>
        </w:rPr>
        <w:t>Umbrina</w:t>
      </w:r>
      <w:proofErr w:type="spellEnd"/>
      <w:r w:rsidRPr="0041624C">
        <w:rPr>
          <w:b w:val="0"/>
          <w:i/>
          <w:sz w:val="24"/>
        </w:rPr>
        <w:t xml:space="preserve"> </w:t>
      </w:r>
      <w:proofErr w:type="spellStart"/>
      <w:r w:rsidRPr="0041624C">
        <w:rPr>
          <w:b w:val="0"/>
          <w:i/>
          <w:sz w:val="24"/>
        </w:rPr>
        <w:t>canosai</w:t>
      </w:r>
      <w:proofErr w:type="spellEnd"/>
      <w:r w:rsidRPr="0041624C">
        <w:rPr>
          <w:b w:val="0"/>
          <w:i/>
          <w:sz w:val="24"/>
        </w:rPr>
        <w:t xml:space="preserve">) </w:t>
      </w:r>
      <w:r w:rsidRPr="0041624C">
        <w:rPr>
          <w:b w:val="0"/>
          <w:sz w:val="24"/>
        </w:rPr>
        <w:t>foram obtidos através de uma indústria localizada em Rio Grande, Sul do Brasil.</w:t>
      </w:r>
      <w:r w:rsidR="001802E3">
        <w:rPr>
          <w:b w:val="0"/>
          <w:sz w:val="24"/>
        </w:rPr>
        <w:t xml:space="preserve"> Os filés foram armazenados a –</w:t>
      </w:r>
      <w:r w:rsidRPr="0041624C">
        <w:rPr>
          <w:b w:val="0"/>
          <w:sz w:val="24"/>
        </w:rPr>
        <w:t>18 °C em embalagens de polietileno até o sua utilização</w:t>
      </w:r>
      <w:r>
        <w:rPr>
          <w:b w:val="0"/>
        </w:rPr>
        <w:t>.</w:t>
      </w:r>
    </w:p>
    <w:p w:rsidR="002019A8" w:rsidRPr="00994CD4" w:rsidRDefault="002019A8" w:rsidP="00994CD4">
      <w:pPr>
        <w:pStyle w:val="Ttulodaseoprimria"/>
        <w:ind w:firstLine="709"/>
        <w:rPr>
          <w:b w:val="0"/>
          <w:sz w:val="24"/>
        </w:rPr>
      </w:pPr>
      <w:r w:rsidRPr="00994CD4">
        <w:rPr>
          <w:b w:val="0"/>
          <w:sz w:val="24"/>
        </w:rPr>
        <w:t xml:space="preserve"> </w:t>
      </w:r>
    </w:p>
    <w:p w:rsidR="001802E3" w:rsidRDefault="002019A8" w:rsidP="001802E3">
      <w:pPr>
        <w:pStyle w:val="Ttulodaseoprimria"/>
        <w:rPr>
          <w:sz w:val="24"/>
        </w:rPr>
      </w:pPr>
      <w:proofErr w:type="gramStart"/>
      <w:r>
        <w:rPr>
          <w:sz w:val="24"/>
        </w:rPr>
        <w:t xml:space="preserve">3.2 </w:t>
      </w:r>
      <w:r w:rsidR="007E714D">
        <w:t>Obtenção</w:t>
      </w:r>
      <w:proofErr w:type="gramEnd"/>
      <w:r w:rsidR="007E714D">
        <w:t xml:space="preserve"> do isolado proteico e proteína </w:t>
      </w:r>
      <w:proofErr w:type="spellStart"/>
      <w:r w:rsidR="007E714D">
        <w:t>miofibrilar</w:t>
      </w:r>
      <w:proofErr w:type="spellEnd"/>
      <w:r w:rsidR="007E714D">
        <w:t xml:space="preserve"> </w:t>
      </w:r>
      <w:r>
        <w:rPr>
          <w:sz w:val="24"/>
        </w:rPr>
        <w:t xml:space="preserve">  </w:t>
      </w:r>
    </w:p>
    <w:p w:rsidR="001A7834" w:rsidRPr="0075644A" w:rsidRDefault="007E714D" w:rsidP="0075644A">
      <w:pPr>
        <w:pStyle w:val="Ttulodaseoprimria"/>
        <w:ind w:firstLine="709"/>
        <w:rPr>
          <w:sz w:val="24"/>
        </w:rPr>
      </w:pPr>
      <w:r w:rsidRPr="0041624C">
        <w:rPr>
          <w:b w:val="0"/>
          <w:sz w:val="24"/>
        </w:rPr>
        <w:t xml:space="preserve">O isolado proteico de castanha (IPC) </w:t>
      </w:r>
      <w:r w:rsidR="001802E3">
        <w:rPr>
          <w:b w:val="0"/>
          <w:sz w:val="24"/>
        </w:rPr>
        <w:t xml:space="preserve">foi obtido </w:t>
      </w:r>
      <w:r w:rsidR="001802E3" w:rsidRPr="001802E3">
        <w:rPr>
          <w:b w:val="0"/>
          <w:sz w:val="24"/>
        </w:rPr>
        <w:t xml:space="preserve">pelo método de variação de </w:t>
      </w:r>
      <w:proofErr w:type="gramStart"/>
      <w:r w:rsidR="001802E3" w:rsidRPr="001802E3">
        <w:rPr>
          <w:b w:val="0"/>
          <w:sz w:val="24"/>
        </w:rPr>
        <w:t>pH</w:t>
      </w:r>
      <w:proofErr w:type="gramEnd"/>
      <w:r w:rsidR="001802E3" w:rsidRPr="001802E3">
        <w:rPr>
          <w:b w:val="0"/>
          <w:sz w:val="24"/>
        </w:rPr>
        <w:t>, seguindo metodologia adaptada de</w:t>
      </w:r>
      <w:r w:rsidRPr="0041624C">
        <w:rPr>
          <w:b w:val="0"/>
          <w:sz w:val="24"/>
        </w:rPr>
        <w:t xml:space="preserve"> Rocha et al. (2013), com modificações, através de solubilização alcalina, seguida de precipitação isoelétrica</w:t>
      </w:r>
      <w:r w:rsidR="001802E3">
        <w:rPr>
          <w:b w:val="0"/>
          <w:sz w:val="24"/>
        </w:rPr>
        <w:t xml:space="preserve"> da proteína</w:t>
      </w:r>
      <w:r w:rsidRPr="0041624C">
        <w:rPr>
          <w:b w:val="0"/>
          <w:sz w:val="24"/>
        </w:rPr>
        <w:t xml:space="preserve">. A proteína </w:t>
      </w:r>
      <w:proofErr w:type="spellStart"/>
      <w:r w:rsidRPr="0041624C">
        <w:rPr>
          <w:b w:val="0"/>
          <w:sz w:val="24"/>
        </w:rPr>
        <w:t>miofibrilar</w:t>
      </w:r>
      <w:proofErr w:type="spellEnd"/>
      <w:r w:rsidRPr="0041624C">
        <w:rPr>
          <w:b w:val="0"/>
          <w:sz w:val="24"/>
        </w:rPr>
        <w:t xml:space="preserve"> (PMC) foi obtida segundo a metodologia descrita por </w:t>
      </w:r>
      <w:proofErr w:type="spellStart"/>
      <w:r w:rsidRPr="0041624C">
        <w:rPr>
          <w:b w:val="0"/>
          <w:sz w:val="24"/>
        </w:rPr>
        <w:t>Limpan</w:t>
      </w:r>
      <w:proofErr w:type="spellEnd"/>
      <w:r w:rsidRPr="0041624C">
        <w:rPr>
          <w:b w:val="0"/>
          <w:sz w:val="24"/>
        </w:rPr>
        <w:t xml:space="preserve"> </w:t>
      </w:r>
      <w:proofErr w:type="gramStart"/>
      <w:r w:rsidRPr="0041624C">
        <w:rPr>
          <w:b w:val="0"/>
          <w:sz w:val="24"/>
        </w:rPr>
        <w:t>et</w:t>
      </w:r>
      <w:proofErr w:type="gramEnd"/>
      <w:r w:rsidRPr="0041624C">
        <w:rPr>
          <w:b w:val="0"/>
          <w:sz w:val="24"/>
        </w:rPr>
        <w:t xml:space="preserve"> al. (2010) com algumas modificações. A </w:t>
      </w:r>
      <w:r w:rsidRPr="0041624C">
        <w:rPr>
          <w:b w:val="0"/>
          <w:sz w:val="24"/>
        </w:rPr>
        <w:lastRenderedPageBreak/>
        <w:t xml:space="preserve">PMC foi obtida através de sucessivas lavagens com água destilada e cloreto de sódio (50 </w:t>
      </w:r>
      <w:proofErr w:type="spellStart"/>
      <w:r w:rsidRPr="0041624C">
        <w:rPr>
          <w:b w:val="0"/>
          <w:sz w:val="24"/>
        </w:rPr>
        <w:t>mM</w:t>
      </w:r>
      <w:proofErr w:type="spellEnd"/>
      <w:r w:rsidRPr="0041624C">
        <w:rPr>
          <w:b w:val="0"/>
          <w:sz w:val="24"/>
        </w:rPr>
        <w:t>). O IPC e a PMC foram liofilizados, moídos e peneirados através de uma malha N ° 42 (0,35 mm) e armazenada a - 20 ° C</w:t>
      </w:r>
      <w:r w:rsidRPr="007E714D">
        <w:rPr>
          <w:b w:val="0"/>
        </w:rPr>
        <w:t>.</w:t>
      </w:r>
    </w:p>
    <w:p w:rsidR="00897E4C" w:rsidRPr="00A16215" w:rsidRDefault="00A16215" w:rsidP="00FF4946">
      <w:pPr>
        <w:pStyle w:val="Ttulodaseoprimria"/>
      </w:pPr>
      <w:proofErr w:type="gramStart"/>
      <w:r>
        <w:t>4</w:t>
      </w:r>
      <w:proofErr w:type="gramEnd"/>
      <w:r>
        <w:t xml:space="preserve"> RESULTADOS e DISCUSSÃO</w:t>
      </w:r>
      <w:r w:rsidR="00FF4946">
        <w:rPr>
          <w:b w:val="0"/>
        </w:rPr>
        <w:t xml:space="preserve">      </w:t>
      </w:r>
    </w:p>
    <w:p w:rsidR="007E714D" w:rsidRDefault="007E714D" w:rsidP="007E714D">
      <w:pPr>
        <w:pStyle w:val="Ttulodaseoprimria"/>
        <w:ind w:firstLine="709"/>
        <w:rPr>
          <w:b w:val="0"/>
        </w:rPr>
      </w:pPr>
      <w:r w:rsidRPr="0041624C">
        <w:rPr>
          <w:b w:val="0"/>
          <w:sz w:val="24"/>
        </w:rPr>
        <w:t xml:space="preserve">A Tabela 1 apresenta a composição proximal do isolado proteico e proteína </w:t>
      </w:r>
      <w:proofErr w:type="spellStart"/>
      <w:r w:rsidRPr="0041624C">
        <w:rPr>
          <w:b w:val="0"/>
          <w:sz w:val="24"/>
        </w:rPr>
        <w:t>miofibrilar</w:t>
      </w:r>
      <w:proofErr w:type="spellEnd"/>
      <w:r w:rsidRPr="0041624C">
        <w:rPr>
          <w:b w:val="0"/>
          <w:sz w:val="24"/>
        </w:rPr>
        <w:t xml:space="preserve"> de </w:t>
      </w:r>
      <w:r w:rsidR="001802E3">
        <w:rPr>
          <w:b w:val="0"/>
          <w:sz w:val="24"/>
        </w:rPr>
        <w:t>castanha</w:t>
      </w:r>
      <w:r>
        <w:rPr>
          <w:b w:val="0"/>
        </w:rPr>
        <w:t xml:space="preserve">. </w:t>
      </w:r>
    </w:p>
    <w:p w:rsidR="007E714D" w:rsidRDefault="007E714D" w:rsidP="007E714D">
      <w:pPr>
        <w:pStyle w:val="Ttulodaseoprimria"/>
        <w:jc w:val="center"/>
      </w:pPr>
      <w:r>
        <w:rPr>
          <w:b w:val="0"/>
          <w:sz w:val="24"/>
        </w:rPr>
        <w:t>Tabela 1 – Composição proximal do IPC e PMC</w:t>
      </w:r>
    </w:p>
    <w:tbl>
      <w:tblPr>
        <w:tblW w:w="5535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4"/>
        <w:gridCol w:w="1984"/>
        <w:gridCol w:w="2117"/>
      </w:tblGrid>
      <w:tr w:rsidR="007E714D" w:rsidTr="007E714D">
        <w:trPr>
          <w:cantSplit/>
          <w:trHeight w:val="250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714D" w:rsidRDefault="007E714D">
            <w:pPr>
              <w:widowControl/>
              <w:suppressAutoHyphens w:val="0"/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IPC</w:t>
            </w:r>
            <w:r w:rsidR="001802E3">
              <w:rPr>
                <w:rFonts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PMC</w:t>
            </w:r>
            <w:r w:rsidR="001802E3">
              <w:rPr>
                <w:rFonts w:cs="Arial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7E714D" w:rsidTr="007E714D">
        <w:trPr>
          <w:cantSplit/>
          <w:trHeight w:val="248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>
            <w:pPr>
              <w:pStyle w:val="Tabla-Texto"/>
              <w:spacing w:before="0" w:after="0" w:line="276" w:lineRule="auto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Umidade</w:t>
            </w:r>
            <w:r w:rsidR="00907349">
              <w:rPr>
                <w:rFonts w:cs="Arial"/>
                <w:sz w:val="22"/>
                <w:szCs w:val="22"/>
                <w:lang w:val="pt-BR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2,2</w:t>
            </w:r>
            <w:r w:rsidR="005A7F14"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  <w:r w:rsidR="00907349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± 0,1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2,0</w:t>
            </w:r>
            <w:r w:rsidR="005A7F14"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± 0,0</w:t>
            </w:r>
          </w:p>
        </w:tc>
      </w:tr>
      <w:tr w:rsidR="007E714D" w:rsidTr="007E714D">
        <w:trPr>
          <w:cantSplit/>
          <w:trHeight w:val="266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>
            <w:pPr>
              <w:pStyle w:val="Tabla-Texto"/>
              <w:spacing w:before="0" w:after="0" w:line="276" w:lineRule="auto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Cinzas</w:t>
            </w:r>
            <w:r w:rsidR="00907349">
              <w:rPr>
                <w:rFonts w:cs="Arial"/>
                <w:sz w:val="22"/>
                <w:szCs w:val="22"/>
                <w:lang w:val="pt-BR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D" w:rsidRDefault="005A7F14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1,5</w:t>
            </w:r>
            <w:r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b</w:t>
            </w:r>
            <w:r w:rsidR="007E714D">
              <w:rPr>
                <w:rFonts w:cs="Arial"/>
                <w:color w:val="000000"/>
                <w:sz w:val="22"/>
                <w:szCs w:val="22"/>
                <w:lang w:eastAsia="en-US"/>
              </w:rPr>
              <w:t>± 0,1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3,3</w:t>
            </w:r>
            <w:r w:rsidR="005A7F14"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± 0,0</w:t>
            </w:r>
          </w:p>
        </w:tc>
      </w:tr>
      <w:tr w:rsidR="007E714D" w:rsidTr="007E714D">
        <w:trPr>
          <w:cantSplit/>
          <w:trHeight w:val="266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>
            <w:pPr>
              <w:pStyle w:val="Tabla-Texto"/>
              <w:spacing w:before="0" w:after="0" w:line="276" w:lineRule="auto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Lipídeos</w:t>
            </w:r>
            <w:r w:rsidR="00907349">
              <w:rPr>
                <w:rFonts w:cs="Arial"/>
                <w:sz w:val="22"/>
                <w:szCs w:val="22"/>
                <w:lang w:val="pt-BR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 w:rsidP="005A7F14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1,2</w:t>
            </w:r>
            <w:r w:rsidR="005A7F14"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b</w:t>
            </w: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± 0,0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3,8</w:t>
            </w:r>
            <w:r w:rsidR="005A7F14"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± 0,1</w:t>
            </w:r>
          </w:p>
        </w:tc>
      </w:tr>
      <w:tr w:rsidR="007E714D" w:rsidTr="007E714D">
        <w:trPr>
          <w:cantSplit/>
          <w:trHeight w:val="266"/>
          <w:jc w:val="center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714D" w:rsidRDefault="007E714D">
            <w:pPr>
              <w:pStyle w:val="Tabla-Texto"/>
              <w:spacing w:before="0" w:after="0" w:line="276" w:lineRule="auto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Proteína</w:t>
            </w:r>
            <w:r w:rsidR="00907349">
              <w:rPr>
                <w:rFonts w:cs="Arial"/>
                <w:sz w:val="22"/>
                <w:szCs w:val="22"/>
                <w:lang w:val="pt-BR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91,8</w:t>
            </w:r>
            <w:r w:rsidR="005A7F14"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± 0,5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714D" w:rsidRDefault="007E714D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88,1</w:t>
            </w:r>
            <w:r w:rsidR="005A7F14" w:rsidRPr="005A7F14">
              <w:rPr>
                <w:rFonts w:cs="Arial"/>
                <w:color w:val="000000"/>
                <w:sz w:val="22"/>
                <w:szCs w:val="22"/>
                <w:vertAlign w:val="superscript"/>
                <w:lang w:eastAsia="en-US"/>
              </w:rPr>
              <w:t>b</w:t>
            </w: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± 1,1</w:t>
            </w:r>
          </w:p>
        </w:tc>
      </w:tr>
    </w:tbl>
    <w:p w:rsidR="007E714D" w:rsidRPr="0042458E" w:rsidRDefault="007E714D" w:rsidP="007E714D">
      <w:pPr>
        <w:pStyle w:val="Leyendadefiguraotabla"/>
        <w:spacing w:before="0" w:after="0"/>
        <w:ind w:firstLine="0"/>
        <w:jc w:val="both"/>
        <w:rPr>
          <w:rFonts w:cs="Arial"/>
          <w:i w:val="0"/>
          <w:sz w:val="20"/>
          <w:szCs w:val="20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>*</w:t>
      </w:r>
      <w:proofErr w:type="spellStart"/>
      <w:r w:rsidRPr="0042458E">
        <w:rPr>
          <w:i w:val="0"/>
          <w:sz w:val="20"/>
          <w:szCs w:val="20"/>
        </w:rPr>
        <w:t>Média</w:t>
      </w:r>
      <w:proofErr w:type="spellEnd"/>
      <w:r w:rsidRPr="0042458E">
        <w:rPr>
          <w:i w:val="0"/>
          <w:sz w:val="20"/>
          <w:szCs w:val="20"/>
        </w:rPr>
        <w:t xml:space="preserve"> </w:t>
      </w:r>
      <w:r w:rsidRPr="0042458E">
        <w:rPr>
          <w:rFonts w:cs="Arial"/>
          <w:i w:val="0"/>
          <w:color w:val="000000"/>
          <w:sz w:val="20"/>
          <w:szCs w:val="20"/>
        </w:rPr>
        <w:t xml:space="preserve">± </w:t>
      </w:r>
      <w:proofErr w:type="spellStart"/>
      <w:r w:rsidRPr="0042458E">
        <w:rPr>
          <w:rFonts w:cs="Arial"/>
          <w:i w:val="0"/>
          <w:color w:val="000000"/>
          <w:sz w:val="20"/>
          <w:szCs w:val="20"/>
        </w:rPr>
        <w:t>desvio-padrão</w:t>
      </w:r>
      <w:proofErr w:type="spellEnd"/>
      <w:r w:rsidRPr="0042458E">
        <w:rPr>
          <w:rFonts w:cs="Arial"/>
          <w:i w:val="0"/>
          <w:sz w:val="20"/>
          <w:szCs w:val="20"/>
          <w:lang w:val="pt-BR"/>
        </w:rPr>
        <w:tab/>
      </w:r>
      <w:r w:rsidR="0042458E" w:rsidRPr="0042458E">
        <w:rPr>
          <w:rFonts w:cs="Arial"/>
          <w:i w:val="0"/>
          <w:sz w:val="20"/>
          <w:szCs w:val="20"/>
          <w:lang w:val="pt-BR"/>
        </w:rPr>
        <w:t>. Letras</w:t>
      </w:r>
      <w:r w:rsidR="0042458E">
        <w:rPr>
          <w:rFonts w:cs="Arial"/>
          <w:i w:val="0"/>
          <w:sz w:val="20"/>
          <w:szCs w:val="20"/>
          <w:lang w:val="pt-BR"/>
        </w:rPr>
        <w:t xml:space="preserve"> iguais na mesma linha indicam que não há diferença significativa (p</w:t>
      </w:r>
      <w:r w:rsidR="00C518FC">
        <w:rPr>
          <w:rFonts w:cs="Arial"/>
          <w:i w:val="0"/>
          <w:sz w:val="20"/>
          <w:szCs w:val="20"/>
          <w:lang w:val="pt-BR"/>
        </w:rPr>
        <w:t xml:space="preserve"> </w:t>
      </w:r>
      <w:r w:rsidR="0042458E">
        <w:rPr>
          <w:rFonts w:cs="Arial"/>
          <w:i w:val="0"/>
          <w:sz w:val="20"/>
          <w:szCs w:val="20"/>
          <w:lang w:val="pt-BR"/>
        </w:rPr>
        <w:t>&gt;</w:t>
      </w:r>
      <w:r w:rsidR="00C518FC">
        <w:rPr>
          <w:rFonts w:cs="Arial"/>
          <w:i w:val="0"/>
          <w:sz w:val="20"/>
          <w:szCs w:val="20"/>
          <w:lang w:val="pt-BR"/>
        </w:rPr>
        <w:t xml:space="preserve"> </w:t>
      </w:r>
      <w:r w:rsidR="0042458E">
        <w:rPr>
          <w:rFonts w:cs="Arial"/>
          <w:i w:val="0"/>
          <w:sz w:val="20"/>
          <w:szCs w:val="20"/>
          <w:lang w:val="pt-BR"/>
        </w:rPr>
        <w:t>0,05)</w:t>
      </w:r>
      <w:r w:rsidR="00502531">
        <w:rPr>
          <w:rFonts w:cs="Arial"/>
          <w:i w:val="0"/>
          <w:sz w:val="20"/>
          <w:szCs w:val="20"/>
          <w:lang w:val="pt-BR"/>
        </w:rPr>
        <w:t>.</w:t>
      </w:r>
    </w:p>
    <w:p w:rsidR="002019A8" w:rsidRDefault="007E714D" w:rsidP="007E714D">
      <w:pPr>
        <w:pStyle w:val="Ttulodaseoprimria"/>
        <w:ind w:firstLine="709"/>
        <w:rPr>
          <w:b w:val="0"/>
          <w:sz w:val="24"/>
        </w:rPr>
      </w:pPr>
      <w:r w:rsidRPr="0041624C">
        <w:rPr>
          <w:b w:val="0"/>
          <w:sz w:val="24"/>
        </w:rPr>
        <w:t xml:space="preserve">O resultado apresentado indica que as lavagens podem remover outros componentes solúveis, diminuindo o conteúdo de proteínas concentradas nas PMC. Segundo </w:t>
      </w:r>
      <w:proofErr w:type="spellStart"/>
      <w:r w:rsidRPr="0041624C">
        <w:rPr>
          <w:b w:val="0"/>
          <w:sz w:val="24"/>
        </w:rPr>
        <w:t>Nolsoe</w:t>
      </w:r>
      <w:proofErr w:type="spellEnd"/>
      <w:r w:rsidRPr="0041624C">
        <w:rPr>
          <w:b w:val="0"/>
          <w:sz w:val="24"/>
        </w:rPr>
        <w:t xml:space="preserve"> e </w:t>
      </w:r>
      <w:proofErr w:type="spellStart"/>
      <w:r w:rsidRPr="0041624C">
        <w:rPr>
          <w:b w:val="0"/>
          <w:sz w:val="24"/>
        </w:rPr>
        <w:t>Undeland</w:t>
      </w:r>
      <w:proofErr w:type="spellEnd"/>
      <w:r w:rsidRPr="0041624C">
        <w:rPr>
          <w:b w:val="0"/>
          <w:sz w:val="24"/>
        </w:rPr>
        <w:t xml:space="preserve"> (2009) nas lavagens, os compostos solúveis em água são diluídos e removidos, e ocorre a perda de proteínas sarcoplasmáticas e algumas das proteínas m</w:t>
      </w:r>
      <w:bookmarkStart w:id="0" w:name="_GoBack"/>
      <w:bookmarkEnd w:id="0"/>
      <w:r w:rsidRPr="0041624C">
        <w:rPr>
          <w:b w:val="0"/>
          <w:sz w:val="24"/>
        </w:rPr>
        <w:t xml:space="preserve">iofibrilares, o que reduz o rendimento total da proteína. De acordo com estes autores a solubilização alcalina apresenta vantagem, pois as proteínas sarcoplasmáticas são recuperadas, elevando a produção de proteína e lipídeos neutros e os lipídeos da membrana </w:t>
      </w:r>
      <w:proofErr w:type="gramStart"/>
      <w:r w:rsidRPr="0041624C">
        <w:rPr>
          <w:b w:val="0"/>
          <w:sz w:val="24"/>
        </w:rPr>
        <w:t>podem</w:t>
      </w:r>
      <w:proofErr w:type="gramEnd"/>
      <w:r w:rsidRPr="0041624C">
        <w:rPr>
          <w:b w:val="0"/>
          <w:sz w:val="24"/>
        </w:rPr>
        <w:t xml:space="preserve"> ser removidos durante o processo</w:t>
      </w:r>
      <w:r w:rsidR="004F2D94">
        <w:rPr>
          <w:b w:val="0"/>
          <w:sz w:val="24"/>
        </w:rPr>
        <w:t>, o que foi verificado no presente estudo.</w:t>
      </w:r>
    </w:p>
    <w:p w:rsidR="007E714D" w:rsidRPr="007E714D" w:rsidRDefault="007E714D" w:rsidP="007E714D">
      <w:pPr>
        <w:pStyle w:val="Ttulodaseoprimria"/>
        <w:ind w:firstLine="709"/>
        <w:rPr>
          <w:b w:val="0"/>
          <w:sz w:val="24"/>
        </w:rPr>
      </w:pPr>
    </w:p>
    <w:p w:rsidR="002019A8" w:rsidRDefault="002019A8" w:rsidP="002019A8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CONSIDERAÇÕES FINAIS</w:t>
      </w:r>
    </w:p>
    <w:p w:rsidR="007E714D" w:rsidRDefault="007E714D" w:rsidP="007E714D">
      <w:r>
        <w:t xml:space="preserve">Foi obtido um isolado proteico com elevado conteúdo de proteínas e baixo teor de lipídeos quando comparado </w:t>
      </w:r>
      <w:r w:rsidR="001802E3">
        <w:t>com as obtenções d</w:t>
      </w:r>
      <w:r>
        <w:t>a</w:t>
      </w:r>
      <w:r w:rsidR="001802E3">
        <w:t>s</w:t>
      </w:r>
      <w:r>
        <w:t xml:space="preserve"> proteínas miofibrilares de castanha. Devido ao seu conteúdo proteico ambos podem </w:t>
      </w:r>
      <w:proofErr w:type="gramStart"/>
      <w:r>
        <w:t>ser</w:t>
      </w:r>
      <w:proofErr w:type="gramEnd"/>
      <w:r>
        <w:t xml:space="preserve"> utilizados para o desenvolvimento de produtos com elevado conteúdo proteico.</w:t>
      </w:r>
    </w:p>
    <w:p w:rsidR="007E714D" w:rsidRDefault="007E714D" w:rsidP="007E714D"/>
    <w:p w:rsidR="002019A8" w:rsidRPr="00536A2B" w:rsidRDefault="002019A8" w:rsidP="002019A8">
      <w:pPr>
        <w:pStyle w:val="Ttulodaseoprimria"/>
        <w:jc w:val="left"/>
        <w:rPr>
          <w:lang w:val="en-US"/>
        </w:rPr>
      </w:pPr>
      <w:r w:rsidRPr="00536A2B">
        <w:rPr>
          <w:lang w:val="en-US"/>
        </w:rPr>
        <w:t>REFERÊNCIAS</w:t>
      </w:r>
    </w:p>
    <w:p w:rsidR="007E714D" w:rsidRDefault="007E714D" w:rsidP="007E714D">
      <w:pPr>
        <w:ind w:firstLine="0"/>
        <w:rPr>
          <w:rFonts w:cs="Arial"/>
        </w:rPr>
      </w:pPr>
      <w:proofErr w:type="gramStart"/>
      <w:r>
        <w:rPr>
          <w:rFonts w:cs="Arial"/>
          <w:lang w:val="en-US"/>
        </w:rPr>
        <w:t>AOAC (2000).</w:t>
      </w:r>
      <w:proofErr w:type="gramEnd"/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i/>
          <w:lang w:val="en-US"/>
        </w:rPr>
        <w:t>Association of Official Analytical Chemists</w:t>
      </w:r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Official methods of analysis.</w:t>
      </w:r>
      <w:proofErr w:type="gramEnd"/>
      <w:r>
        <w:rPr>
          <w:rFonts w:cs="Arial"/>
          <w:lang w:val="en-US"/>
        </w:rPr>
        <w:t xml:space="preserve"> 17aedição. </w:t>
      </w:r>
      <w:r>
        <w:rPr>
          <w:rFonts w:cs="Arial"/>
        </w:rPr>
        <w:t>Maryland: AOAC.</w:t>
      </w:r>
    </w:p>
    <w:p w:rsidR="007E714D" w:rsidRPr="007E714D" w:rsidRDefault="007E714D" w:rsidP="007E714D">
      <w:pPr>
        <w:ind w:firstLine="0"/>
        <w:rPr>
          <w:rFonts w:cs="Arial"/>
          <w:lang w:val="en-US"/>
        </w:rPr>
      </w:pPr>
      <w:r>
        <w:rPr>
          <w:rFonts w:cs="Arial"/>
        </w:rPr>
        <w:t xml:space="preserve">CENTENARO, G.S. Obtenção de </w:t>
      </w:r>
      <w:proofErr w:type="spellStart"/>
      <w:r>
        <w:rPr>
          <w:rFonts w:cs="Arial"/>
        </w:rPr>
        <w:t>biopeptídeos</w:t>
      </w:r>
      <w:proofErr w:type="spellEnd"/>
      <w:r>
        <w:rPr>
          <w:rFonts w:cs="Arial"/>
        </w:rPr>
        <w:t xml:space="preserve"> com atividade antioxidante a partir de proteínas de origem animal. 175p. Tese (Doutorado) - Programa de Pós Graduação em Engenharia e Ciência de Alimentos. </w:t>
      </w:r>
      <w:proofErr w:type="spellStart"/>
      <w:r w:rsidRPr="007E714D">
        <w:rPr>
          <w:rFonts w:cs="Arial"/>
          <w:lang w:val="en-US"/>
        </w:rPr>
        <w:t>Universidade</w:t>
      </w:r>
      <w:proofErr w:type="spellEnd"/>
      <w:r w:rsidRPr="007E714D">
        <w:rPr>
          <w:rFonts w:cs="Arial"/>
          <w:lang w:val="en-US"/>
        </w:rPr>
        <w:t xml:space="preserve"> Federal </w:t>
      </w:r>
      <w:proofErr w:type="gramStart"/>
      <w:r w:rsidRPr="007E714D">
        <w:rPr>
          <w:rFonts w:cs="Arial"/>
          <w:lang w:val="en-US"/>
        </w:rPr>
        <w:t>do</w:t>
      </w:r>
      <w:proofErr w:type="gramEnd"/>
      <w:r w:rsidRPr="007E714D">
        <w:rPr>
          <w:rFonts w:cs="Arial"/>
          <w:lang w:val="en-US"/>
        </w:rPr>
        <w:t xml:space="preserve"> Rio Grande. </w:t>
      </w:r>
      <w:proofErr w:type="gramStart"/>
      <w:r w:rsidRPr="007E714D">
        <w:rPr>
          <w:rFonts w:cs="Arial"/>
          <w:lang w:val="en-US"/>
        </w:rPr>
        <w:t>Rio Grande, 2011.</w:t>
      </w:r>
      <w:proofErr w:type="gramEnd"/>
    </w:p>
    <w:p w:rsidR="007E714D" w:rsidRPr="007E714D" w:rsidRDefault="007E714D" w:rsidP="007E714D">
      <w:pPr>
        <w:ind w:firstLine="0"/>
        <w:rPr>
          <w:rFonts w:cs="Arial"/>
          <w:lang w:val="en-US"/>
        </w:rPr>
      </w:pPr>
      <w:r>
        <w:rPr>
          <w:rFonts w:cs="Arial"/>
          <w:lang w:val="x-none"/>
        </w:rPr>
        <w:t>LIMPAN, N.</w:t>
      </w:r>
      <w:r w:rsidRPr="007E714D">
        <w:rPr>
          <w:rFonts w:cs="Arial"/>
          <w:lang w:val="en-US"/>
        </w:rPr>
        <w:t xml:space="preserve">; </w:t>
      </w:r>
      <w:r>
        <w:rPr>
          <w:rFonts w:cs="Arial"/>
          <w:lang w:val="x-none"/>
        </w:rPr>
        <w:t>PRODPRAN, T.</w:t>
      </w:r>
      <w:r w:rsidRPr="007E714D">
        <w:rPr>
          <w:rFonts w:cs="Arial"/>
          <w:lang w:val="en-US"/>
        </w:rPr>
        <w:t>;</w:t>
      </w:r>
      <w:r>
        <w:rPr>
          <w:rFonts w:cs="Arial"/>
          <w:lang w:val="x-none"/>
        </w:rPr>
        <w:t xml:space="preserve"> BENJAKUL S.</w:t>
      </w:r>
      <w:r w:rsidRPr="007E714D">
        <w:rPr>
          <w:rFonts w:cs="Arial"/>
          <w:lang w:val="en-US"/>
        </w:rPr>
        <w:t>;</w:t>
      </w:r>
      <w:r>
        <w:rPr>
          <w:rFonts w:cs="Arial"/>
          <w:lang w:val="x-none"/>
        </w:rPr>
        <w:t xml:space="preserve"> PRASARPAN S. </w:t>
      </w:r>
      <w:proofErr w:type="spellStart"/>
      <w:r>
        <w:rPr>
          <w:rFonts w:cs="Arial"/>
          <w:lang w:val="x-none"/>
        </w:rPr>
        <w:t>Properties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of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biodegradable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blend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films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based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on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fish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myofibrillar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protein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and</w:t>
      </w:r>
      <w:proofErr w:type="spellEnd"/>
      <w:r>
        <w:rPr>
          <w:rFonts w:cs="Arial"/>
          <w:lang w:val="x-none"/>
        </w:rPr>
        <w:t xml:space="preserve">  </w:t>
      </w:r>
      <w:proofErr w:type="spellStart"/>
      <w:r>
        <w:rPr>
          <w:rFonts w:cs="Arial"/>
          <w:lang w:val="x-none"/>
        </w:rPr>
        <w:t>polyvinyl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alcohol</w:t>
      </w:r>
      <w:proofErr w:type="spellEnd"/>
      <w:r>
        <w:rPr>
          <w:rFonts w:cs="Arial"/>
          <w:lang w:val="x-none"/>
        </w:rPr>
        <w:t xml:space="preserve"> as </w:t>
      </w:r>
      <w:proofErr w:type="spellStart"/>
      <w:r>
        <w:rPr>
          <w:rFonts w:cs="Arial"/>
          <w:lang w:val="x-none"/>
        </w:rPr>
        <w:t>influenced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by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blend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composition</w:t>
      </w:r>
      <w:proofErr w:type="spellEnd"/>
      <w:r>
        <w:rPr>
          <w:rFonts w:cs="Arial"/>
          <w:lang w:val="x-none"/>
        </w:rPr>
        <w:t xml:space="preserve"> </w:t>
      </w:r>
      <w:proofErr w:type="spellStart"/>
      <w:r>
        <w:rPr>
          <w:rFonts w:cs="Arial"/>
          <w:lang w:val="x-none"/>
        </w:rPr>
        <w:t>and</w:t>
      </w:r>
      <w:proofErr w:type="spellEnd"/>
      <w:r>
        <w:rPr>
          <w:rFonts w:cs="Arial"/>
          <w:lang w:val="x-none"/>
        </w:rPr>
        <w:t xml:space="preserve"> pH </w:t>
      </w:r>
      <w:proofErr w:type="spellStart"/>
      <w:r>
        <w:rPr>
          <w:rFonts w:cs="Arial"/>
          <w:lang w:val="x-none"/>
        </w:rPr>
        <w:t>level</w:t>
      </w:r>
      <w:proofErr w:type="spellEnd"/>
      <w:r>
        <w:rPr>
          <w:rFonts w:cs="Arial"/>
          <w:lang w:val="x-none"/>
        </w:rPr>
        <w:t xml:space="preserve">, </w:t>
      </w:r>
      <w:proofErr w:type="spellStart"/>
      <w:r>
        <w:rPr>
          <w:rFonts w:cs="Arial"/>
          <w:lang w:val="x-none"/>
        </w:rPr>
        <w:t>J</w:t>
      </w:r>
      <w:r w:rsidRPr="007E714D">
        <w:rPr>
          <w:rFonts w:cs="Arial"/>
          <w:lang w:val="en-US"/>
        </w:rPr>
        <w:t>ournal</w:t>
      </w:r>
      <w:proofErr w:type="spellEnd"/>
      <w:r w:rsidRPr="007E714D">
        <w:rPr>
          <w:rFonts w:cs="Arial"/>
          <w:lang w:val="en-US"/>
        </w:rPr>
        <w:t xml:space="preserve"> of Food Engineering</w:t>
      </w:r>
      <w:r>
        <w:rPr>
          <w:rFonts w:cs="Arial"/>
          <w:lang w:val="x-none"/>
        </w:rPr>
        <w:t>,</w:t>
      </w:r>
      <w:r w:rsidRPr="007E714D">
        <w:rPr>
          <w:rFonts w:cs="Arial"/>
          <w:lang w:val="en-US"/>
        </w:rPr>
        <w:t xml:space="preserve"> v.</w:t>
      </w:r>
      <w:r>
        <w:rPr>
          <w:rFonts w:cs="Arial"/>
          <w:lang w:val="x-none"/>
        </w:rPr>
        <w:t xml:space="preserve"> 100</w:t>
      </w:r>
      <w:r w:rsidRPr="007E714D">
        <w:rPr>
          <w:rFonts w:cs="Arial"/>
          <w:lang w:val="en-US"/>
        </w:rPr>
        <w:t>, p.</w:t>
      </w:r>
      <w:r>
        <w:rPr>
          <w:rFonts w:cs="Arial"/>
          <w:lang w:val="x-none"/>
        </w:rPr>
        <w:t>85 – 92</w:t>
      </w:r>
      <w:r w:rsidRPr="007E714D">
        <w:rPr>
          <w:rFonts w:cs="Arial"/>
          <w:lang w:val="en-US"/>
        </w:rPr>
        <w:t>, 2010.</w:t>
      </w:r>
    </w:p>
    <w:p w:rsidR="007E714D" w:rsidRPr="001802E3" w:rsidRDefault="001802E3" w:rsidP="007E714D">
      <w:pPr>
        <w:ind w:firstLine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NOLSOE, H.; UNDELAND, I.</w:t>
      </w:r>
      <w:proofErr w:type="gramEnd"/>
      <w:r>
        <w:rPr>
          <w:rFonts w:cs="Arial"/>
          <w:lang w:val="en-US"/>
        </w:rPr>
        <w:t xml:space="preserve"> The acid and alkaline </w:t>
      </w:r>
      <w:proofErr w:type="spellStart"/>
      <w:r>
        <w:rPr>
          <w:rFonts w:cs="Arial"/>
          <w:lang w:val="en-US"/>
        </w:rPr>
        <w:t>s</w:t>
      </w:r>
      <w:r w:rsidR="007E714D">
        <w:rPr>
          <w:rFonts w:cs="Arial"/>
          <w:lang w:val="en-US"/>
        </w:rPr>
        <w:t>olubilisation</w:t>
      </w:r>
      <w:proofErr w:type="spellEnd"/>
      <w:r>
        <w:rPr>
          <w:rFonts w:cs="Arial"/>
          <w:lang w:val="en-US"/>
        </w:rPr>
        <w:t xml:space="preserve"> process for the isolation of muscle p</w:t>
      </w:r>
      <w:r w:rsidR="007E714D">
        <w:rPr>
          <w:rFonts w:cs="Arial"/>
          <w:lang w:val="en-US"/>
        </w:rPr>
        <w:t xml:space="preserve">roteins: State of the Art. </w:t>
      </w:r>
      <w:r>
        <w:rPr>
          <w:rFonts w:cs="Arial"/>
          <w:bCs/>
          <w:lang w:val="en-US"/>
        </w:rPr>
        <w:t xml:space="preserve">Food and </w:t>
      </w:r>
      <w:r w:rsidR="007E714D" w:rsidRPr="001802E3">
        <w:rPr>
          <w:rFonts w:cs="Arial"/>
          <w:bCs/>
          <w:lang w:val="en-US"/>
        </w:rPr>
        <w:t>Bioprocess Technology</w:t>
      </w:r>
      <w:proofErr w:type="gramStart"/>
      <w:r w:rsidR="007E714D" w:rsidRPr="001802E3">
        <w:rPr>
          <w:rFonts w:cs="Arial"/>
          <w:lang w:val="en-US"/>
        </w:rPr>
        <w:t>,v.29</w:t>
      </w:r>
      <w:proofErr w:type="gramEnd"/>
      <w:r w:rsidR="007E714D" w:rsidRPr="001802E3">
        <w:rPr>
          <w:rFonts w:cs="Arial"/>
          <w:lang w:val="en-US"/>
        </w:rPr>
        <w:t xml:space="preserve"> 2008. </w:t>
      </w:r>
    </w:p>
    <w:p w:rsidR="00F423CD" w:rsidRPr="001802E3" w:rsidRDefault="007E714D" w:rsidP="007E714D">
      <w:pPr>
        <w:ind w:firstLine="0"/>
        <w:rPr>
          <w:rFonts w:cs="Arial"/>
          <w:lang w:val="en-US"/>
        </w:rPr>
      </w:pPr>
      <w:r w:rsidRPr="001802E3">
        <w:rPr>
          <w:rFonts w:cs="Arial"/>
          <w:lang w:val="en-US"/>
        </w:rPr>
        <w:t xml:space="preserve">ROCHA, M.; LOIKO, M. R.; GAUTÉRIO, G. </w:t>
      </w:r>
      <w:r w:rsidR="001802E3">
        <w:rPr>
          <w:rFonts w:cs="Arial"/>
          <w:lang w:val="en-US"/>
        </w:rPr>
        <w:t>V.; TONDO, E. C.; PRENTICE, C</w:t>
      </w:r>
      <w:proofErr w:type="gramStart"/>
      <w:r w:rsidR="001802E3">
        <w:rPr>
          <w:rFonts w:cs="Arial"/>
          <w:lang w:val="en-US"/>
        </w:rPr>
        <w:t>. .</w:t>
      </w:r>
      <w:proofErr w:type="gramEnd"/>
      <w:r>
        <w:rPr>
          <w:rFonts w:cs="Arial"/>
          <w:lang w:val="en-US"/>
        </w:rPr>
        <w:t>Influence of heating, protein and glycerol concentrations of film-forming solution on the film properties of Argentine anchovy (</w:t>
      </w:r>
      <w:proofErr w:type="spellStart"/>
      <w:r>
        <w:rPr>
          <w:rFonts w:cs="Arial"/>
          <w:i/>
          <w:lang w:val="en-US"/>
        </w:rPr>
        <w:t>Engraulis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anchoita</w:t>
      </w:r>
      <w:proofErr w:type="spellEnd"/>
      <w:r>
        <w:rPr>
          <w:rFonts w:cs="Arial"/>
          <w:lang w:val="en-US"/>
        </w:rPr>
        <w:t xml:space="preserve">) protein isolate. </w:t>
      </w:r>
      <w:proofErr w:type="gramStart"/>
      <w:r>
        <w:rPr>
          <w:rFonts w:cs="Arial"/>
          <w:i/>
          <w:lang w:val="en-US"/>
        </w:rPr>
        <w:t>Journal of Food Engineering</w:t>
      </w:r>
      <w:r w:rsidR="001802E3">
        <w:rPr>
          <w:rFonts w:cs="Arial"/>
          <w:lang w:val="en-US"/>
        </w:rPr>
        <w:t>, 116, 666–673, 2013</w:t>
      </w:r>
      <w:r w:rsidR="0075644A">
        <w:rPr>
          <w:rFonts w:cs="Arial"/>
          <w:lang w:val="en-US"/>
        </w:rPr>
        <w:t>.</w:t>
      </w:r>
      <w:proofErr w:type="gramEnd"/>
    </w:p>
    <w:sectPr w:rsidR="00F423CD" w:rsidRPr="001802E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A9" w:rsidRDefault="00ED6AA9" w:rsidP="002019A8">
      <w:r>
        <w:separator/>
      </w:r>
    </w:p>
  </w:endnote>
  <w:endnote w:type="continuationSeparator" w:id="0">
    <w:p w:rsidR="00ED6AA9" w:rsidRDefault="00ED6AA9" w:rsidP="002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A9" w:rsidRDefault="00ED6AA9" w:rsidP="002019A8">
      <w:r>
        <w:separator/>
      </w:r>
    </w:p>
  </w:footnote>
  <w:footnote w:type="continuationSeparator" w:id="0">
    <w:p w:rsidR="00ED6AA9" w:rsidRDefault="00ED6AA9" w:rsidP="0020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A8" w:rsidRPr="002019A8" w:rsidRDefault="002019A8" w:rsidP="002019A8">
    <w:pPr>
      <w:pStyle w:val="Cabealho"/>
      <w:jc w:val="center"/>
      <w:rPr>
        <w:rStyle w:val="Forte"/>
        <w:color w:val="808080" w:themeColor="background1" w:themeShade="80"/>
      </w:rPr>
    </w:pPr>
    <w:r w:rsidRPr="002019A8">
      <w:rPr>
        <w:rStyle w:val="Forte"/>
        <w:color w:val="808080" w:themeColor="background1" w:themeShade="80"/>
      </w:rPr>
      <w:t>13ª Mostra da Produção Universitária</w:t>
    </w:r>
  </w:p>
  <w:p w:rsidR="002019A8" w:rsidRPr="002019A8" w:rsidRDefault="002019A8" w:rsidP="002019A8">
    <w:pPr>
      <w:pStyle w:val="Cabealho"/>
      <w:jc w:val="center"/>
      <w:rPr>
        <w:rStyle w:val="Forte"/>
        <w:b w:val="0"/>
        <w:color w:val="808080" w:themeColor="background1" w:themeShade="80"/>
        <w:sz w:val="20"/>
        <w:szCs w:val="20"/>
      </w:rPr>
    </w:pPr>
    <w:r w:rsidRPr="002019A8">
      <w:rPr>
        <w:rStyle w:val="Forte"/>
        <w:b w:val="0"/>
        <w:color w:val="808080" w:themeColor="background1" w:themeShade="80"/>
        <w:sz w:val="20"/>
        <w:szCs w:val="20"/>
      </w:rPr>
      <w:t>.</w:t>
    </w:r>
  </w:p>
  <w:p w:rsidR="002019A8" w:rsidRPr="002019A8" w:rsidRDefault="002019A8" w:rsidP="002019A8">
    <w:pPr>
      <w:pStyle w:val="Cabealho"/>
      <w:jc w:val="center"/>
      <w:rPr>
        <w:color w:val="808080" w:themeColor="background1" w:themeShade="80"/>
        <w:lang w:val="x-none"/>
      </w:rPr>
    </w:pPr>
    <w:r w:rsidRPr="002019A8">
      <w:rPr>
        <w:rStyle w:val="Forte"/>
        <w:b w:val="0"/>
        <w:color w:val="808080" w:themeColor="background1" w:themeShade="80"/>
        <w:sz w:val="18"/>
        <w:szCs w:val="20"/>
      </w:rPr>
      <w:t>Rio Grande/RS, Brasil, 14 a 17 de outubro de 2014.</w:t>
    </w:r>
  </w:p>
  <w:p w:rsidR="002019A8" w:rsidRPr="002019A8" w:rsidRDefault="002019A8" w:rsidP="002019A8">
    <w:pPr>
      <w:pStyle w:val="Cabealho"/>
      <w:ind w:firstLine="0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17F"/>
    <w:multiLevelType w:val="hybridMultilevel"/>
    <w:tmpl w:val="E466C07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8"/>
    <w:rsid w:val="000C1E04"/>
    <w:rsid w:val="001802E3"/>
    <w:rsid w:val="001A7834"/>
    <w:rsid w:val="001B15F6"/>
    <w:rsid w:val="002019A8"/>
    <w:rsid w:val="0026489A"/>
    <w:rsid w:val="0031779F"/>
    <w:rsid w:val="00400FD1"/>
    <w:rsid w:val="0041624C"/>
    <w:rsid w:val="0042458E"/>
    <w:rsid w:val="004A2563"/>
    <w:rsid w:val="004F2D94"/>
    <w:rsid w:val="00502531"/>
    <w:rsid w:val="00536A2B"/>
    <w:rsid w:val="00563518"/>
    <w:rsid w:val="00587822"/>
    <w:rsid w:val="005A17BC"/>
    <w:rsid w:val="005A7F14"/>
    <w:rsid w:val="00664CD0"/>
    <w:rsid w:val="006C17B8"/>
    <w:rsid w:val="006F3A47"/>
    <w:rsid w:val="0075644A"/>
    <w:rsid w:val="00781E63"/>
    <w:rsid w:val="007E714D"/>
    <w:rsid w:val="00856C7D"/>
    <w:rsid w:val="00894145"/>
    <w:rsid w:val="00897E4C"/>
    <w:rsid w:val="008B58B6"/>
    <w:rsid w:val="00907349"/>
    <w:rsid w:val="00933F25"/>
    <w:rsid w:val="00994CD4"/>
    <w:rsid w:val="009F1605"/>
    <w:rsid w:val="00A16215"/>
    <w:rsid w:val="00A6383F"/>
    <w:rsid w:val="00A91F7B"/>
    <w:rsid w:val="00BA14EB"/>
    <w:rsid w:val="00BB35F2"/>
    <w:rsid w:val="00BE6500"/>
    <w:rsid w:val="00BF56BD"/>
    <w:rsid w:val="00C518FC"/>
    <w:rsid w:val="00D5685A"/>
    <w:rsid w:val="00D877EC"/>
    <w:rsid w:val="00DC37BF"/>
    <w:rsid w:val="00E14A44"/>
    <w:rsid w:val="00E34049"/>
    <w:rsid w:val="00ED6AA9"/>
    <w:rsid w:val="00F37924"/>
    <w:rsid w:val="00F423CD"/>
    <w:rsid w:val="00F5100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8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2019A8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2019A8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2019A8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2019A8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201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9A8"/>
    <w:rPr>
      <w:rFonts w:ascii="Arial" w:eastAsia="Arial Unicode MS" w:hAnsi="Arial" w:cs="Times New Roman"/>
      <w:kern w:val="2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19A8"/>
    <w:rPr>
      <w:rFonts w:ascii="Arial" w:eastAsia="Arial Unicode MS" w:hAnsi="Arial" w:cs="Times New Roman"/>
      <w:kern w:val="2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9A8"/>
    <w:rPr>
      <w:rFonts w:ascii="Tahoma" w:eastAsia="Arial Unicode MS" w:hAnsi="Tahoma" w:cs="Tahoma"/>
      <w:kern w:val="2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019A8"/>
    <w:rPr>
      <w:b/>
      <w:bCs/>
    </w:rPr>
  </w:style>
  <w:style w:type="paragraph" w:styleId="PargrafodaLista">
    <w:name w:val="List Paragraph"/>
    <w:basedOn w:val="Normal"/>
    <w:uiPriority w:val="34"/>
    <w:qFormat/>
    <w:rsid w:val="00BF56BD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CD4"/>
    <w:rPr>
      <w:rFonts w:ascii="Arial" w:eastAsia="Arial Unicode MS" w:hAnsi="Arial" w:cs="Times New Roman"/>
      <w:kern w:val="2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4C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8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2019A8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2019A8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2019A8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2019A8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201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9A8"/>
    <w:rPr>
      <w:rFonts w:ascii="Arial" w:eastAsia="Arial Unicode MS" w:hAnsi="Arial" w:cs="Times New Roman"/>
      <w:kern w:val="2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19A8"/>
    <w:rPr>
      <w:rFonts w:ascii="Arial" w:eastAsia="Arial Unicode MS" w:hAnsi="Arial" w:cs="Times New Roman"/>
      <w:kern w:val="2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9A8"/>
    <w:rPr>
      <w:rFonts w:ascii="Tahoma" w:eastAsia="Arial Unicode MS" w:hAnsi="Tahoma" w:cs="Tahoma"/>
      <w:kern w:val="2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019A8"/>
    <w:rPr>
      <w:b/>
      <w:bCs/>
    </w:rPr>
  </w:style>
  <w:style w:type="paragraph" w:styleId="PargrafodaLista">
    <w:name w:val="List Paragraph"/>
    <w:basedOn w:val="Normal"/>
    <w:uiPriority w:val="34"/>
    <w:qFormat/>
    <w:rsid w:val="00BF56BD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CD4"/>
    <w:rPr>
      <w:rFonts w:ascii="Arial" w:eastAsia="Arial Unicode MS" w:hAnsi="Arial" w:cs="Times New Roman"/>
      <w:kern w:val="2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4C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Meri</cp:lastModifiedBy>
  <cp:revision>2</cp:revision>
  <dcterms:created xsi:type="dcterms:W3CDTF">2014-07-30T00:14:00Z</dcterms:created>
  <dcterms:modified xsi:type="dcterms:W3CDTF">2014-07-30T00:14:00Z</dcterms:modified>
</cp:coreProperties>
</file>