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43B" w:rsidRDefault="00BC76BC" w:rsidP="00EC343B">
      <w:pPr>
        <w:ind w:firstLine="0"/>
        <w:jc w:val="center"/>
        <w:rPr>
          <w:b/>
        </w:rPr>
      </w:pPr>
      <w:r>
        <w:rPr>
          <w:b/>
        </w:rPr>
        <w:t xml:space="preserve">UMA ANÁLISE ACERCA DO ORÇAMENTO IMPOSITIVO </w:t>
      </w:r>
    </w:p>
    <w:p w:rsidR="00BC76BC" w:rsidRDefault="00BC76BC" w:rsidP="00EC343B">
      <w:pPr>
        <w:ind w:firstLine="0"/>
        <w:jc w:val="center"/>
        <w:rPr>
          <w:b/>
        </w:rPr>
      </w:pPr>
      <w:r>
        <w:rPr>
          <w:b/>
        </w:rPr>
        <w:t xml:space="preserve">À LUZ DA RESERVA DO POSSÍVEL E </w:t>
      </w:r>
      <w:r w:rsidR="00FF6484">
        <w:rPr>
          <w:b/>
        </w:rPr>
        <w:t>D</w:t>
      </w:r>
      <w:r>
        <w:rPr>
          <w:b/>
        </w:rPr>
        <w:t>A EFETIVAÇÃO DOS DIREITOS SOCIAIS</w:t>
      </w:r>
    </w:p>
    <w:p w:rsidR="00044C25" w:rsidRDefault="00044C25" w:rsidP="00B53B4D">
      <w:pPr>
        <w:ind w:firstLine="0"/>
        <w:rPr>
          <w:b/>
        </w:rPr>
      </w:pPr>
    </w:p>
    <w:p w:rsidR="00044C25" w:rsidRDefault="00EC343B" w:rsidP="00044C25">
      <w:pPr>
        <w:ind w:firstLine="0"/>
        <w:jc w:val="right"/>
        <w:rPr>
          <w:b/>
        </w:rPr>
      </w:pPr>
      <w:r>
        <w:rPr>
          <w:b/>
        </w:rPr>
        <w:t>BANDEIRA, Gilmar Pereira</w:t>
      </w:r>
      <w:r>
        <w:rPr>
          <w:rStyle w:val="Refdenotaderodap"/>
          <w:b/>
        </w:rPr>
        <w:footnoteReference w:id="2"/>
      </w:r>
    </w:p>
    <w:p w:rsidR="00B53B4D" w:rsidRDefault="00B53B4D" w:rsidP="00044C25">
      <w:pPr>
        <w:ind w:firstLine="0"/>
        <w:jc w:val="right"/>
        <w:rPr>
          <w:b/>
        </w:rPr>
      </w:pPr>
      <w:r w:rsidRPr="00B53B4D">
        <w:rPr>
          <w:b/>
        </w:rPr>
        <w:t>CUNHA</w:t>
      </w:r>
      <w:r>
        <w:rPr>
          <w:b/>
        </w:rPr>
        <w:t xml:space="preserve">, </w:t>
      </w:r>
      <w:r w:rsidRPr="00B53B4D">
        <w:rPr>
          <w:b/>
        </w:rPr>
        <w:t>Christine</w:t>
      </w:r>
      <w:r>
        <w:rPr>
          <w:rStyle w:val="Refdenotaderodap"/>
          <w:b/>
        </w:rPr>
        <w:footnoteReference w:id="3"/>
      </w:r>
    </w:p>
    <w:p w:rsidR="00C47B84" w:rsidRDefault="009811E0" w:rsidP="0029083B">
      <w:pPr>
        <w:ind w:firstLine="0"/>
        <w:jc w:val="right"/>
        <w:rPr>
          <w:b/>
        </w:rPr>
      </w:pPr>
      <w:r>
        <w:rPr>
          <w:b/>
        </w:rPr>
        <w:t>FONSECA, Bruno Bandeira</w:t>
      </w:r>
      <w:r>
        <w:rPr>
          <w:rStyle w:val="Refdenotaderodap"/>
          <w:b/>
        </w:rPr>
        <w:footnoteReference w:id="4"/>
      </w:r>
    </w:p>
    <w:p w:rsidR="00B53B4D" w:rsidRDefault="00B53B4D" w:rsidP="0029083B">
      <w:pPr>
        <w:ind w:firstLine="0"/>
        <w:jc w:val="right"/>
        <w:rPr>
          <w:b/>
        </w:rPr>
      </w:pPr>
      <w:r>
        <w:rPr>
          <w:b/>
        </w:rPr>
        <w:t>SANTOS,</w:t>
      </w:r>
      <w:r w:rsidR="007C44B2">
        <w:rPr>
          <w:b/>
        </w:rPr>
        <w:t xml:space="preserve"> </w:t>
      </w:r>
      <w:r>
        <w:rPr>
          <w:b/>
        </w:rPr>
        <w:t>Everson Alves dos</w:t>
      </w:r>
      <w:r>
        <w:rPr>
          <w:rStyle w:val="Refdenotaderodap"/>
          <w:b/>
        </w:rPr>
        <w:footnoteReference w:id="5"/>
      </w:r>
    </w:p>
    <w:p w:rsidR="00B53B4D" w:rsidRDefault="0095643F" w:rsidP="00B53B4D">
      <w:pPr>
        <w:ind w:firstLine="0"/>
        <w:jc w:val="right"/>
        <w:rPr>
          <w:b/>
        </w:rPr>
      </w:pPr>
      <w:r w:rsidRPr="0095643F">
        <w:rPr>
          <w:b/>
        </w:rPr>
        <w:t>SILVA, Antônio Marcos Bittencourt</w:t>
      </w:r>
      <w:r w:rsidR="00EC343B">
        <w:rPr>
          <w:rStyle w:val="Refdenotaderodap"/>
          <w:b/>
        </w:rPr>
        <w:footnoteReference w:id="6"/>
      </w:r>
    </w:p>
    <w:p w:rsidR="00BB031F" w:rsidRDefault="00BB031F" w:rsidP="0029083B">
      <w:pPr>
        <w:ind w:firstLine="0"/>
        <w:jc w:val="right"/>
        <w:rPr>
          <w:b/>
        </w:rPr>
      </w:pPr>
      <w:r>
        <w:rPr>
          <w:b/>
        </w:rPr>
        <w:t>SILVEIRA, Juliano da Silva</w:t>
      </w:r>
      <w:r>
        <w:rPr>
          <w:rStyle w:val="Refdenotaderodap"/>
          <w:b/>
        </w:rPr>
        <w:footnoteReference w:id="7"/>
      </w:r>
    </w:p>
    <w:p w:rsidR="006773FC" w:rsidRDefault="006773FC" w:rsidP="0029083B">
      <w:pPr>
        <w:ind w:firstLine="0"/>
        <w:jc w:val="right"/>
        <w:rPr>
          <w:b/>
        </w:rPr>
      </w:pPr>
      <w:r w:rsidRPr="006773FC">
        <w:rPr>
          <w:b/>
        </w:rPr>
        <w:t>SOARES, Rodrigo da Silva</w:t>
      </w:r>
      <w:r>
        <w:rPr>
          <w:rStyle w:val="Refdenotaderodap"/>
          <w:b/>
        </w:rPr>
        <w:footnoteReference w:id="8"/>
      </w:r>
    </w:p>
    <w:p w:rsidR="00BB031F" w:rsidRDefault="00BB031F" w:rsidP="0029083B">
      <w:pPr>
        <w:ind w:firstLine="0"/>
        <w:jc w:val="right"/>
        <w:rPr>
          <w:b/>
        </w:rPr>
      </w:pPr>
      <w:r>
        <w:rPr>
          <w:b/>
        </w:rPr>
        <w:t>SOTTILI, Luciana Adélia</w:t>
      </w:r>
      <w:r>
        <w:rPr>
          <w:rStyle w:val="Refdenotaderodap"/>
          <w:b/>
        </w:rPr>
        <w:footnoteReference w:id="9"/>
      </w:r>
    </w:p>
    <w:p w:rsidR="001469BB" w:rsidRDefault="001469BB" w:rsidP="0029083B">
      <w:pPr>
        <w:ind w:firstLine="0"/>
        <w:jc w:val="right"/>
        <w:rPr>
          <w:b/>
        </w:rPr>
      </w:pPr>
      <w:r w:rsidRPr="001469BB">
        <w:rPr>
          <w:b/>
        </w:rPr>
        <w:t>VIEIRA,</w:t>
      </w:r>
      <w:r>
        <w:rPr>
          <w:b/>
        </w:rPr>
        <w:t xml:space="preserve"> Maíra dos Santo</w:t>
      </w:r>
      <w:r w:rsidR="00301038">
        <w:rPr>
          <w:b/>
        </w:rPr>
        <w:t>s</w:t>
      </w:r>
      <w:r>
        <w:rPr>
          <w:rStyle w:val="Refdenotaderodap"/>
          <w:b/>
        </w:rPr>
        <w:footnoteReference w:id="10"/>
      </w:r>
    </w:p>
    <w:p w:rsidR="00EC343B" w:rsidRDefault="00B75EAB" w:rsidP="008C29E2">
      <w:pPr>
        <w:ind w:firstLine="0"/>
        <w:jc w:val="right"/>
        <w:rPr>
          <w:b/>
        </w:rPr>
      </w:pPr>
      <w:r w:rsidRPr="00B90E5D">
        <w:rPr>
          <w:b/>
        </w:rPr>
        <w:t>C</w:t>
      </w:r>
      <w:r>
        <w:rPr>
          <w:b/>
        </w:rPr>
        <w:t>ASTILLO,</w:t>
      </w:r>
      <w:r w:rsidR="007C44B2">
        <w:rPr>
          <w:b/>
        </w:rPr>
        <w:t xml:space="preserve"> </w:t>
      </w:r>
      <w:r w:rsidR="00B90E5D" w:rsidRPr="00B90E5D">
        <w:rPr>
          <w:b/>
        </w:rPr>
        <w:t>Mauricio Braz</w:t>
      </w:r>
      <w:r w:rsidR="009811E0">
        <w:rPr>
          <w:rStyle w:val="Refdenotaderodap"/>
          <w:b/>
        </w:rPr>
        <w:footnoteReference w:id="11"/>
      </w:r>
    </w:p>
    <w:p w:rsidR="00A771C1" w:rsidRDefault="00EE50CF" w:rsidP="00A771C1">
      <w:pPr>
        <w:ind w:firstLine="0"/>
        <w:jc w:val="right"/>
        <w:rPr>
          <w:b/>
        </w:rPr>
      </w:pPr>
      <w:hyperlink r:id="rId7" w:history="1">
        <w:r w:rsidR="00CE3310" w:rsidRPr="00907114">
          <w:rPr>
            <w:rStyle w:val="Hyperlink"/>
            <w:b/>
          </w:rPr>
          <w:t>antoniobittencourt@furg.br</w:t>
        </w:r>
      </w:hyperlink>
    </w:p>
    <w:p w:rsidR="00CC41D4" w:rsidRDefault="00CC41D4" w:rsidP="00CC41D4">
      <w:pPr>
        <w:jc w:val="right"/>
        <w:rPr>
          <w:rFonts w:cs="Arial"/>
          <w:b/>
        </w:rPr>
      </w:pPr>
    </w:p>
    <w:p w:rsidR="00CC41D4" w:rsidRDefault="00B50A0E" w:rsidP="00CC41D4">
      <w:pPr>
        <w:jc w:val="right"/>
        <w:rPr>
          <w:rFonts w:cs="Arial"/>
          <w:b/>
        </w:rPr>
      </w:pPr>
      <w:r>
        <w:rPr>
          <w:rFonts w:cs="Arial"/>
          <w:b/>
        </w:rPr>
        <w:t xml:space="preserve">Evento: </w:t>
      </w:r>
      <w:r w:rsidR="00C27C28" w:rsidRPr="00C27C28">
        <w:rPr>
          <w:rFonts w:cs="Arial"/>
          <w:b/>
        </w:rPr>
        <w:t>Congresso de Iniciação Científica</w:t>
      </w:r>
    </w:p>
    <w:p w:rsidR="00CC41D4" w:rsidRDefault="00B50A0E" w:rsidP="00CC41D4">
      <w:pPr>
        <w:jc w:val="right"/>
        <w:rPr>
          <w:rFonts w:cs="Arial"/>
          <w:b/>
        </w:rPr>
      </w:pPr>
      <w:r>
        <w:rPr>
          <w:rFonts w:cs="Arial"/>
          <w:b/>
        </w:rPr>
        <w:t xml:space="preserve">Área do conhecimento: </w:t>
      </w:r>
      <w:r w:rsidR="00CC41D4">
        <w:rPr>
          <w:rFonts w:cs="Arial"/>
          <w:b/>
        </w:rPr>
        <w:t xml:space="preserve">Ciências Sociais Aplicadas </w:t>
      </w:r>
      <w:r>
        <w:rPr>
          <w:rFonts w:cs="Arial"/>
          <w:b/>
        </w:rPr>
        <w:t>–</w:t>
      </w:r>
      <w:r w:rsidR="00CC41D4">
        <w:rPr>
          <w:rFonts w:cs="Arial"/>
          <w:b/>
        </w:rPr>
        <w:t xml:space="preserve"> Direito</w:t>
      </w:r>
    </w:p>
    <w:p w:rsidR="000C27C7" w:rsidRPr="00FB3E05" w:rsidRDefault="000C27C7" w:rsidP="00CC41D4">
      <w:pPr>
        <w:ind w:firstLine="0"/>
        <w:rPr>
          <w:b/>
        </w:rPr>
      </w:pPr>
    </w:p>
    <w:p w:rsidR="00C341B4" w:rsidRPr="00CC41D4" w:rsidRDefault="009F1118" w:rsidP="009F1118">
      <w:pPr>
        <w:ind w:firstLine="0"/>
      </w:pPr>
      <w:r w:rsidRPr="009F1118">
        <w:rPr>
          <w:b/>
        </w:rPr>
        <w:t>Palavras-chave</w:t>
      </w:r>
      <w:r w:rsidR="00CC41D4">
        <w:rPr>
          <w:b/>
        </w:rPr>
        <w:t xml:space="preserve">: </w:t>
      </w:r>
      <w:r w:rsidR="00CE3310" w:rsidRPr="00CE3310">
        <w:t>Direitos sociais, Orçamento impositivo,</w:t>
      </w:r>
      <w:r w:rsidR="007C44B2">
        <w:t xml:space="preserve"> </w:t>
      </w:r>
      <w:r w:rsidR="00CE3310" w:rsidRPr="00CE3310">
        <w:t xml:space="preserve">Reserva do possível. </w:t>
      </w:r>
    </w:p>
    <w:p w:rsidR="00CC41D4" w:rsidRPr="00FB3E05" w:rsidRDefault="00CC41D4" w:rsidP="0029083B">
      <w:pPr>
        <w:pStyle w:val="Ttulodaseoprimria"/>
      </w:pPr>
    </w:p>
    <w:p w:rsidR="009D0723" w:rsidRPr="00CB5E6B" w:rsidRDefault="0082219D" w:rsidP="0029083B">
      <w:pPr>
        <w:pStyle w:val="Ttulodaseoprimria"/>
        <w:rPr>
          <w:sz w:val="24"/>
        </w:rPr>
      </w:pPr>
      <w:r w:rsidRPr="00CB5E6B">
        <w:rPr>
          <w:sz w:val="24"/>
        </w:rPr>
        <w:t>1 INTRODUÇÃO</w:t>
      </w:r>
    </w:p>
    <w:p w:rsidR="009D0723" w:rsidRPr="00CB5E6B" w:rsidRDefault="009D0723" w:rsidP="0029083B">
      <w:pPr>
        <w:ind w:left="709" w:firstLine="0"/>
      </w:pPr>
    </w:p>
    <w:p w:rsidR="0089308C" w:rsidRPr="00CB5E6B" w:rsidRDefault="0089308C" w:rsidP="00135E53">
      <w:pPr>
        <w:rPr>
          <w:color w:val="000000"/>
        </w:rPr>
      </w:pPr>
      <w:r w:rsidRPr="00CB5E6B">
        <w:t>O orçamento público é um documento legal que visa estabelecer estimativas das receitas e despesas do governo para determinado exercício</w:t>
      </w:r>
      <w:r w:rsidR="00FF6484">
        <w:t>. Dele deriva</w:t>
      </w:r>
      <w:r w:rsidRPr="00CB5E6B">
        <w:t xml:space="preserve"> a espécie de orçam</w:t>
      </w:r>
      <w:r w:rsidR="00FF6484">
        <w:t>ento impositivo. Es</w:t>
      </w:r>
      <w:r w:rsidR="000E4CE4">
        <w:t>s</w:t>
      </w:r>
      <w:r w:rsidR="00FF6484">
        <w:t>e impõe ao Poder E</w:t>
      </w:r>
      <w:r w:rsidRPr="00CB5E6B">
        <w:t xml:space="preserve">xecutivo a obrigatoriedade de liberar verbas para as </w:t>
      </w:r>
      <w:r w:rsidR="0017167F">
        <w:t>emendas votadas e aprovadas na Câmara dos Deputados Federais e S</w:t>
      </w:r>
      <w:r w:rsidRPr="00CB5E6B">
        <w:t>enado. Logo, o objetivo do estudo consiste em analisar o</w:t>
      </w:r>
      <w:r w:rsidR="00D94E1F">
        <w:t xml:space="preserve"> orçamento impositivo à luz da R</w:t>
      </w:r>
      <w:r w:rsidR="0017167F">
        <w:t>eserva do P</w:t>
      </w:r>
      <w:r w:rsidRPr="00CB5E6B">
        <w:t xml:space="preserve">ossível e as formas de execução dos direitos sociais. </w:t>
      </w:r>
    </w:p>
    <w:p w:rsidR="00B75EAB" w:rsidRPr="00CB5E6B" w:rsidRDefault="00B75EAB" w:rsidP="00B75EAB">
      <w:pPr>
        <w:ind w:firstLine="0"/>
        <w:jc w:val="left"/>
        <w:rPr>
          <w:rFonts w:cs="Arial"/>
          <w:b/>
        </w:rPr>
      </w:pPr>
    </w:p>
    <w:p w:rsidR="00B75EAB" w:rsidRPr="00CB5E6B" w:rsidRDefault="00B75EAB" w:rsidP="00B75EAB">
      <w:pPr>
        <w:ind w:firstLine="0"/>
        <w:jc w:val="left"/>
        <w:rPr>
          <w:rFonts w:cs="Arial"/>
          <w:b/>
          <w:color w:val="FF0000"/>
        </w:rPr>
      </w:pPr>
      <w:r w:rsidRPr="00CB5E6B">
        <w:rPr>
          <w:rFonts w:cs="Arial"/>
          <w:b/>
        </w:rPr>
        <w:t>2 REFERENCIAL TEÓRICO</w:t>
      </w:r>
    </w:p>
    <w:p w:rsidR="00B75EAB" w:rsidRPr="00CB5E6B" w:rsidRDefault="00B75EAB" w:rsidP="00B75EAB">
      <w:pPr>
        <w:ind w:firstLine="0"/>
        <w:jc w:val="left"/>
        <w:rPr>
          <w:rFonts w:cs="Arial"/>
          <w:b/>
        </w:rPr>
      </w:pPr>
    </w:p>
    <w:p w:rsidR="009D0723" w:rsidRPr="00CB5E6B" w:rsidRDefault="0089308C" w:rsidP="0029083B">
      <w:pPr>
        <w:rPr>
          <w:color w:val="000000"/>
        </w:rPr>
      </w:pPr>
      <w:r w:rsidRPr="00CB5E6B">
        <w:rPr>
          <w:color w:val="000000"/>
        </w:rPr>
        <w:t>Como caminho metodológico, optou-se por uma pesquisa bibliográfica, desta forma</w:t>
      </w:r>
      <w:r w:rsidR="0017167F">
        <w:rPr>
          <w:color w:val="000000"/>
        </w:rPr>
        <w:t>,</w:t>
      </w:r>
      <w:r w:rsidRPr="00CB5E6B">
        <w:rPr>
          <w:color w:val="000000"/>
        </w:rPr>
        <w:t xml:space="preserve"> utilizarem</w:t>
      </w:r>
      <w:r w:rsidR="000E4CE4">
        <w:rPr>
          <w:color w:val="000000"/>
        </w:rPr>
        <w:t xml:space="preserve">os </w:t>
      </w:r>
      <w:r w:rsidR="001469BB">
        <w:rPr>
          <w:color w:val="000000"/>
        </w:rPr>
        <w:t>as contribuições teóricas de</w:t>
      </w:r>
      <w:r w:rsidR="00C1520E">
        <w:t xml:space="preserve"> Daniel Wang</w:t>
      </w:r>
      <w:r w:rsidRPr="00CB5E6B">
        <w:rPr>
          <w:color w:val="000000"/>
        </w:rPr>
        <w:t xml:space="preserve">, José </w:t>
      </w:r>
      <w:r w:rsidR="00C1520E">
        <w:rPr>
          <w:color w:val="000000"/>
        </w:rPr>
        <w:t>Canotilho</w:t>
      </w:r>
      <w:r w:rsidRPr="00CB5E6B">
        <w:rPr>
          <w:color w:val="000000"/>
        </w:rPr>
        <w:t>,</w:t>
      </w:r>
      <w:r w:rsidR="006121CD">
        <w:rPr>
          <w:color w:val="000000"/>
        </w:rPr>
        <w:t xml:space="preserve"> </w:t>
      </w:r>
      <w:r w:rsidRPr="00CB5E6B">
        <w:rPr>
          <w:color w:val="000000"/>
        </w:rPr>
        <w:t>Julio</w:t>
      </w:r>
      <w:r w:rsidR="006121CD">
        <w:rPr>
          <w:color w:val="000000"/>
        </w:rPr>
        <w:t xml:space="preserve"> </w:t>
      </w:r>
      <w:r w:rsidR="00C1520E">
        <w:rPr>
          <w:color w:val="000000"/>
        </w:rPr>
        <w:t>Siqueira</w:t>
      </w:r>
      <w:r w:rsidRPr="00CB5E6B">
        <w:rPr>
          <w:color w:val="000000"/>
        </w:rPr>
        <w:t xml:space="preserve">, Roberto </w:t>
      </w:r>
      <w:r w:rsidR="00C1520E">
        <w:rPr>
          <w:color w:val="000000"/>
        </w:rPr>
        <w:t>Piscitelli</w:t>
      </w:r>
      <w:r w:rsidR="003F27AE">
        <w:rPr>
          <w:color w:val="000000"/>
        </w:rPr>
        <w:t>.</w:t>
      </w:r>
    </w:p>
    <w:p w:rsidR="0089308C" w:rsidRPr="00CB5E6B" w:rsidRDefault="0089308C" w:rsidP="0029083B"/>
    <w:p w:rsidR="009D0723" w:rsidRPr="00CB5E6B" w:rsidRDefault="00B75EAB" w:rsidP="0029083B">
      <w:pPr>
        <w:pStyle w:val="Ttulodaseoprimria"/>
        <w:rPr>
          <w:sz w:val="24"/>
        </w:rPr>
      </w:pPr>
      <w:r w:rsidRPr="00CB5E6B">
        <w:rPr>
          <w:sz w:val="24"/>
        </w:rPr>
        <w:t>3</w:t>
      </w:r>
      <w:r w:rsidR="0082219D" w:rsidRPr="00CB5E6B">
        <w:rPr>
          <w:sz w:val="24"/>
        </w:rPr>
        <w:t xml:space="preserve"> MATERIAIS E MÉTODOS</w:t>
      </w:r>
    </w:p>
    <w:p w:rsidR="003220E0" w:rsidRPr="00CB5E6B" w:rsidRDefault="003220E0" w:rsidP="0029083B">
      <w:pPr>
        <w:pStyle w:val="Ttulodaseoprimria"/>
        <w:rPr>
          <w:sz w:val="24"/>
        </w:rPr>
      </w:pPr>
    </w:p>
    <w:p w:rsidR="00BD3DE2" w:rsidRPr="00CB5E6B" w:rsidRDefault="005F7E4E" w:rsidP="00BD3DE2">
      <w:pPr>
        <w:rPr>
          <w:rFonts w:cs="Arial"/>
          <w:color w:val="000000"/>
        </w:rPr>
      </w:pPr>
      <w:r w:rsidRPr="00CB5E6B">
        <w:rPr>
          <w:rFonts w:cs="Arial"/>
          <w:color w:val="000000"/>
        </w:rPr>
        <w:t xml:space="preserve">A presente pesquisa científica </w:t>
      </w:r>
      <w:r w:rsidR="00152F00" w:rsidRPr="00CB5E6B">
        <w:rPr>
          <w:rFonts w:cs="Arial"/>
          <w:color w:val="000000"/>
        </w:rPr>
        <w:t>está alocada</w:t>
      </w:r>
      <w:r w:rsidR="007C44B2">
        <w:rPr>
          <w:rFonts w:cs="Arial"/>
          <w:color w:val="000000"/>
        </w:rPr>
        <w:t xml:space="preserve"> </w:t>
      </w:r>
      <w:r w:rsidR="006121CD">
        <w:rPr>
          <w:rFonts w:cs="Arial"/>
          <w:color w:val="000000"/>
        </w:rPr>
        <w:t>na</w:t>
      </w:r>
      <w:r w:rsidRPr="00CB5E6B">
        <w:rPr>
          <w:rFonts w:cs="Arial"/>
          <w:color w:val="000000"/>
        </w:rPr>
        <w:t xml:space="preserve"> área de conhecimento das Ciências Sociais Aplicadas e fará uma</w:t>
      </w:r>
      <w:r w:rsidR="0017167F">
        <w:rPr>
          <w:rFonts w:cs="Arial"/>
          <w:color w:val="000000"/>
        </w:rPr>
        <w:t xml:space="preserve"> aná</w:t>
      </w:r>
      <w:r w:rsidR="00775682" w:rsidRPr="00CB5E6B">
        <w:rPr>
          <w:rFonts w:cs="Arial"/>
          <w:color w:val="000000"/>
        </w:rPr>
        <w:t xml:space="preserve">lise qualitativa do tema, com o intuito de </w:t>
      </w:r>
      <w:r w:rsidR="00775682" w:rsidRPr="00CB5E6B">
        <w:rPr>
          <w:rFonts w:cs="Arial"/>
          <w:color w:val="000000"/>
        </w:rPr>
        <w:lastRenderedPageBreak/>
        <w:t xml:space="preserve">satisfazer os anseios propostos e responder da maneira mais completa possível à problemática que emerge acerca do </w:t>
      </w:r>
      <w:r w:rsidR="00BD3DE2" w:rsidRPr="00CB5E6B">
        <w:rPr>
          <w:rFonts w:cs="Arial"/>
          <w:color w:val="000000"/>
        </w:rPr>
        <w:t>orçamento impositivo</w:t>
      </w:r>
      <w:r w:rsidR="0017167F">
        <w:rPr>
          <w:rFonts w:cs="Arial"/>
          <w:color w:val="000000"/>
        </w:rPr>
        <w:t>. O presente tema</w:t>
      </w:r>
      <w:r w:rsidR="00BD3DE2" w:rsidRPr="00CB5E6B">
        <w:rPr>
          <w:rFonts w:cs="Arial"/>
          <w:color w:val="000000"/>
        </w:rPr>
        <w:t xml:space="preserve"> é relativamente</w:t>
      </w:r>
      <w:r w:rsidR="0017167F">
        <w:rPr>
          <w:rFonts w:cs="Arial"/>
          <w:color w:val="000000"/>
        </w:rPr>
        <w:t xml:space="preserve"> novo, já que trata da atuação do Poder Judiciário frente ao Princípio da Reserva do P</w:t>
      </w:r>
      <w:r w:rsidR="00BD3DE2" w:rsidRPr="00CB5E6B">
        <w:rPr>
          <w:rFonts w:cs="Arial"/>
          <w:color w:val="000000"/>
        </w:rPr>
        <w:t xml:space="preserve">ossível e </w:t>
      </w:r>
      <w:r w:rsidR="0017167F">
        <w:rPr>
          <w:rFonts w:cs="Arial"/>
          <w:color w:val="000000"/>
        </w:rPr>
        <w:t>d</w:t>
      </w:r>
      <w:r w:rsidR="00A05C56">
        <w:rPr>
          <w:rFonts w:cs="Arial"/>
          <w:color w:val="000000"/>
        </w:rPr>
        <w:t>a necessidade de efetivação</w:t>
      </w:r>
      <w:r w:rsidR="00BD3DE2" w:rsidRPr="00CB5E6B">
        <w:rPr>
          <w:rFonts w:cs="Arial"/>
          <w:color w:val="000000"/>
        </w:rPr>
        <w:t xml:space="preserve"> dos direitos sociais.</w:t>
      </w:r>
    </w:p>
    <w:p w:rsidR="003220E0" w:rsidRPr="00CB5E6B" w:rsidRDefault="003220E0" w:rsidP="0029083B"/>
    <w:p w:rsidR="009D0723" w:rsidRPr="00CB5E6B" w:rsidRDefault="00B75EAB" w:rsidP="0029083B">
      <w:pPr>
        <w:pStyle w:val="Ttulodaseoprimria"/>
        <w:rPr>
          <w:sz w:val="24"/>
        </w:rPr>
      </w:pPr>
      <w:r w:rsidRPr="00CB5E6B">
        <w:rPr>
          <w:sz w:val="24"/>
        </w:rPr>
        <w:t>4</w:t>
      </w:r>
      <w:r w:rsidR="000E4CE4">
        <w:rPr>
          <w:sz w:val="24"/>
        </w:rPr>
        <w:t xml:space="preserve"> </w:t>
      </w:r>
      <w:r w:rsidR="0029083B" w:rsidRPr="00CB5E6B">
        <w:rPr>
          <w:sz w:val="24"/>
        </w:rPr>
        <w:t xml:space="preserve">RESULTADOS </w:t>
      </w:r>
      <w:r w:rsidR="009F1118" w:rsidRPr="00CB5E6B">
        <w:rPr>
          <w:sz w:val="24"/>
        </w:rPr>
        <w:t>e</w:t>
      </w:r>
      <w:r w:rsidR="0029083B" w:rsidRPr="00CB5E6B">
        <w:rPr>
          <w:sz w:val="24"/>
        </w:rPr>
        <w:t xml:space="preserve"> DISCUSSÃO </w:t>
      </w:r>
    </w:p>
    <w:p w:rsidR="00147A0F" w:rsidRPr="00CB5E6B" w:rsidRDefault="00147A0F" w:rsidP="00026074"/>
    <w:p w:rsidR="00C21235" w:rsidRPr="00225280" w:rsidRDefault="00026074" w:rsidP="000563C1">
      <w:pPr>
        <w:rPr>
          <w:u w:val="single"/>
        </w:rPr>
      </w:pPr>
      <w:r w:rsidRPr="00CB5E6B">
        <w:t>O orçamento impositivo é um</w:t>
      </w:r>
      <w:r w:rsidR="001B7173">
        <w:t xml:space="preserve"> tema relativamente novo e surge</w:t>
      </w:r>
      <w:r w:rsidRPr="00CB5E6B">
        <w:t xml:space="preserve"> como segunda </w:t>
      </w:r>
      <w:r w:rsidR="00147A0F" w:rsidRPr="00CB5E6B">
        <w:t>possibilidade</w:t>
      </w:r>
      <w:r w:rsidR="001B7173">
        <w:t xml:space="preserve">, além </w:t>
      </w:r>
      <w:r w:rsidR="00C55593">
        <w:t>do já</w:t>
      </w:r>
      <w:r w:rsidR="001B7173">
        <w:t xml:space="preserve"> pre</w:t>
      </w:r>
      <w:r w:rsidR="00C55593">
        <w:t>estabelecido</w:t>
      </w:r>
      <w:r w:rsidR="00594247">
        <w:t xml:space="preserve"> orçamento autorizativo</w:t>
      </w:r>
      <w:r w:rsidR="00C55593">
        <w:t>,</w:t>
      </w:r>
      <w:r w:rsidR="006121CD">
        <w:t xml:space="preserve"> </w:t>
      </w:r>
      <w:r w:rsidR="0009583F">
        <w:t>alme</w:t>
      </w:r>
      <w:r w:rsidR="00C55593">
        <w:t>jando</w:t>
      </w:r>
      <w:r w:rsidRPr="00B93A5E">
        <w:t xml:space="preserve"> tornar obrigatória a execução orçamentária e financeira das emendas individuais dos </w:t>
      </w:r>
      <w:r w:rsidR="00C374D4">
        <w:rPr>
          <w:rFonts w:cs="Arial"/>
        </w:rPr>
        <w:t>parlamentares. Tais</w:t>
      </w:r>
      <w:r w:rsidR="005E174D" w:rsidRPr="00B93A5E">
        <w:rPr>
          <w:rFonts w:cs="Arial"/>
        </w:rPr>
        <w:t xml:space="preserve"> questões motivaram a apr</w:t>
      </w:r>
      <w:r w:rsidR="00C55593">
        <w:rPr>
          <w:rFonts w:cs="Arial"/>
        </w:rPr>
        <w:t>ovação, sem veto, por parte da P</w:t>
      </w:r>
      <w:r w:rsidR="005E174D" w:rsidRPr="00B93A5E">
        <w:rPr>
          <w:rFonts w:cs="Arial"/>
        </w:rPr>
        <w:t>resid</w:t>
      </w:r>
      <w:r w:rsidR="00C55593">
        <w:rPr>
          <w:rFonts w:cs="Arial"/>
        </w:rPr>
        <w:t>ência da R</w:t>
      </w:r>
      <w:r w:rsidR="005E174D" w:rsidRPr="00B93A5E">
        <w:rPr>
          <w:rFonts w:cs="Arial"/>
        </w:rPr>
        <w:t>epública</w:t>
      </w:r>
      <w:r w:rsidR="00C374D4">
        <w:rPr>
          <w:rFonts w:cs="Arial"/>
        </w:rPr>
        <w:t>,</w:t>
      </w:r>
      <w:r w:rsidR="00497241">
        <w:rPr>
          <w:rFonts w:cs="Arial"/>
        </w:rPr>
        <w:t xml:space="preserve"> </w:t>
      </w:r>
      <w:r w:rsidR="00C374D4">
        <w:rPr>
          <w:rFonts w:cs="Arial"/>
        </w:rPr>
        <w:t>d</w:t>
      </w:r>
      <w:r w:rsidR="005E174D" w:rsidRPr="00B93A5E">
        <w:rPr>
          <w:rFonts w:cs="Arial"/>
        </w:rPr>
        <w:t>a Lei de Diretrizes Orçamentárias n.° 12.919/13</w:t>
      </w:r>
      <w:r w:rsidRPr="00B93A5E">
        <w:t xml:space="preserve">, </w:t>
      </w:r>
      <w:r w:rsidR="00C374D4">
        <w:t>a qual</w:t>
      </w:r>
      <w:r w:rsidRPr="00B93A5E">
        <w:t xml:space="preserve"> impõe os parâmetros de uso dos recursos federais para 2014.</w:t>
      </w:r>
      <w:r w:rsidRPr="00CB5E6B">
        <w:t xml:space="preserve"> Em contraposição, emerge a cláusula da reserva do possível</w:t>
      </w:r>
      <w:r w:rsidR="00C374D4">
        <w:t>, que</w:t>
      </w:r>
      <w:r w:rsidRPr="00CB5E6B">
        <w:t xml:space="preserve"> representa a disponibilidade financeira do </w:t>
      </w:r>
      <w:r w:rsidR="003F27AE">
        <w:t>Estado, conforme CANOTILHO (2002</w:t>
      </w:r>
      <w:r w:rsidRPr="00CB5E6B">
        <w:t>) ‘’os direitos sociais só existem quando e enquanto existir dinheiro nos cofres públicos’’. Desta forma, como empecilho para executar o p</w:t>
      </w:r>
      <w:r w:rsidR="00C374D4">
        <w:t>lano orçamentário impositivo</w:t>
      </w:r>
      <w:r w:rsidR="001020B3">
        <w:t>,</w:t>
      </w:r>
      <w:r w:rsidR="00C374D4">
        <w:t xml:space="preserve"> o Poder E</w:t>
      </w:r>
      <w:r w:rsidRPr="00CB5E6B">
        <w:t xml:space="preserve">xecutivo </w:t>
      </w:r>
      <w:r w:rsidR="000E4CE4" w:rsidRPr="000E4CE4">
        <w:t>contra-argumenta que</w:t>
      </w:r>
      <w:r w:rsidR="000E4CE4" w:rsidRPr="00CB5E6B">
        <w:t xml:space="preserve"> </w:t>
      </w:r>
      <w:r w:rsidRPr="00CB5E6B">
        <w:t xml:space="preserve">as necessidades humanas </w:t>
      </w:r>
      <w:r w:rsidR="000E4CE4">
        <w:t xml:space="preserve">são </w:t>
      </w:r>
      <w:r w:rsidRPr="00CB5E6B">
        <w:t>ilimitadas, enquanto os recursos públicos são limitados e</w:t>
      </w:r>
      <w:r w:rsidR="001020B3">
        <w:t>,</w:t>
      </w:r>
      <w:r w:rsidRPr="00CB5E6B">
        <w:t xml:space="preserve"> por i</w:t>
      </w:r>
      <w:r w:rsidR="001020B3">
        <w:t>sso, são escassos para atender à</w:t>
      </w:r>
      <w:r w:rsidRPr="00CB5E6B">
        <w:t xml:space="preserve">s demandas sociais. </w:t>
      </w:r>
      <w:r w:rsidR="00594247">
        <w:t>A</w:t>
      </w:r>
      <w:r w:rsidRPr="00CB5E6B">
        <w:t xml:space="preserve"> efetivação dos direitos sociais tem sofrido drásticas derrotas </w:t>
      </w:r>
      <w:r w:rsidR="001020B3">
        <w:t>em virtude da</w:t>
      </w:r>
      <w:r w:rsidR="006121CD">
        <w:t xml:space="preserve"> </w:t>
      </w:r>
      <w:r w:rsidR="00792A9A" w:rsidRPr="00CB5E6B">
        <w:t>id</w:t>
      </w:r>
      <w:r w:rsidR="001B7173">
        <w:t>e</w:t>
      </w:r>
      <w:r w:rsidR="00792A9A" w:rsidRPr="00CB5E6B">
        <w:t>ia</w:t>
      </w:r>
      <w:r w:rsidRPr="00CB5E6B">
        <w:t xml:space="preserve"> trazida pela reserva do possível. Como forma de </w:t>
      </w:r>
      <w:r w:rsidR="00594247">
        <w:t>implementação</w:t>
      </w:r>
      <w:r w:rsidRPr="00CB5E6B">
        <w:t xml:space="preserve"> desses direitos</w:t>
      </w:r>
      <w:r w:rsidR="001020B3">
        <w:t>, ora violados, o Poder J</w:t>
      </w:r>
      <w:r w:rsidRPr="00CB5E6B">
        <w:t>udiciário</w:t>
      </w:r>
      <w:r w:rsidR="00594247">
        <w:t xml:space="preserve"> atua</w:t>
      </w:r>
      <w:r w:rsidRPr="00CB5E6B">
        <w:t xml:space="preserve"> coercitivamente</w:t>
      </w:r>
      <w:r w:rsidR="006121CD">
        <w:t xml:space="preserve"> </w:t>
      </w:r>
      <w:r w:rsidR="00D84AF4">
        <w:t>a fim de</w:t>
      </w:r>
      <w:r w:rsidR="001020B3">
        <w:t xml:space="preserve"> obrigar a</w:t>
      </w:r>
      <w:r w:rsidR="006121CD">
        <w:t xml:space="preserve"> </w:t>
      </w:r>
      <w:r w:rsidRPr="00CB5E6B">
        <w:t xml:space="preserve">implementação das demandas sociais aprovadas por meio do orçamento impositivo. Trata-se, pois, de maximizar a eficácia e aplicabilidade dos direitos sociais. </w:t>
      </w:r>
    </w:p>
    <w:p w:rsidR="0082219D" w:rsidRPr="00CB5E6B" w:rsidRDefault="004265B4" w:rsidP="000C27C7">
      <w:r w:rsidRPr="00CB5E6B">
        <w:rPr>
          <w:rFonts w:cs="Arial"/>
        </w:rPr>
        <w:tab/>
      </w:r>
    </w:p>
    <w:p w:rsidR="009D0723" w:rsidRPr="00CB5E6B" w:rsidRDefault="00B75EAB" w:rsidP="0029083B">
      <w:pPr>
        <w:pStyle w:val="Ttulodaseoprimria"/>
        <w:rPr>
          <w:sz w:val="24"/>
        </w:rPr>
      </w:pPr>
      <w:r w:rsidRPr="00CB5E6B">
        <w:rPr>
          <w:sz w:val="24"/>
        </w:rPr>
        <w:t>5</w:t>
      </w:r>
      <w:r w:rsidR="0082219D" w:rsidRPr="00CB5E6B">
        <w:rPr>
          <w:sz w:val="24"/>
        </w:rPr>
        <w:t xml:space="preserve"> CONSIDERAÇÕES FINAIS</w:t>
      </w:r>
    </w:p>
    <w:p w:rsidR="003220E0" w:rsidRPr="00444E88" w:rsidRDefault="003220E0" w:rsidP="0029083B">
      <w:pPr>
        <w:pStyle w:val="Ttulodaseoprimria"/>
        <w:rPr>
          <w:sz w:val="24"/>
        </w:rPr>
      </w:pPr>
    </w:p>
    <w:p w:rsidR="00E83592" w:rsidRPr="00444E88" w:rsidRDefault="000C27C7" w:rsidP="000563C1">
      <w:r w:rsidRPr="00444E88">
        <w:t xml:space="preserve">Nota-se, portanto, que </w:t>
      </w:r>
      <w:r w:rsidR="0014458C" w:rsidRPr="00444E88">
        <w:t xml:space="preserve">o orçamento impositivo </w:t>
      </w:r>
      <w:r w:rsidR="004301F0">
        <w:t xml:space="preserve">é um modo </w:t>
      </w:r>
      <w:r w:rsidR="003656FA" w:rsidRPr="00444E88">
        <w:t xml:space="preserve">de obrigar </w:t>
      </w:r>
      <w:r w:rsidR="00E83592" w:rsidRPr="00444E88">
        <w:t>o Poder E</w:t>
      </w:r>
      <w:r w:rsidR="00F91B47" w:rsidRPr="00444E88">
        <w:t xml:space="preserve">xecutivo a liberar verbas para as emendas votadas e aprovadas </w:t>
      </w:r>
      <w:r w:rsidR="00E83592" w:rsidRPr="00444E88">
        <w:t>pelo Poder Legislativo</w:t>
      </w:r>
      <w:r w:rsidR="000942A0" w:rsidRPr="00444E88">
        <w:t xml:space="preserve">. </w:t>
      </w:r>
      <w:r w:rsidR="000563C1" w:rsidRPr="00444E88">
        <w:t>Além disso, se faz imprescindível suscitar que o orçamento impositivo é uma forma de efetivação das promessas eleitorais que se vinculam ao mandato dos parlamentares</w:t>
      </w:r>
      <w:r w:rsidR="004410D4" w:rsidRPr="00444E88">
        <w:t xml:space="preserve"> e</w:t>
      </w:r>
      <w:r w:rsidR="006121CD">
        <w:t xml:space="preserve"> </w:t>
      </w:r>
      <w:r w:rsidR="004410D4" w:rsidRPr="00444E88">
        <w:t xml:space="preserve">auxilia como </w:t>
      </w:r>
      <w:r w:rsidR="00E21F13">
        <w:t>meio</w:t>
      </w:r>
      <w:r w:rsidR="004410D4" w:rsidRPr="00444E88">
        <w:t xml:space="preserve"> de evitar o problema da </w:t>
      </w:r>
      <w:r w:rsidR="000563C1" w:rsidRPr="00444E88">
        <w:t>obscuridade dos gastos públicos</w:t>
      </w:r>
      <w:r w:rsidR="004410D4" w:rsidRPr="00444E88">
        <w:t>. Ademais</w:t>
      </w:r>
      <w:r w:rsidR="001020B3">
        <w:t>,</w:t>
      </w:r>
      <w:r w:rsidR="004410D4" w:rsidRPr="00444E88">
        <w:t xml:space="preserve"> vis</w:t>
      </w:r>
      <w:r w:rsidR="000563C1" w:rsidRPr="00444E88">
        <w:t xml:space="preserve">a suprir as demandas </w:t>
      </w:r>
      <w:r w:rsidR="004410D4" w:rsidRPr="00444E88">
        <w:t>especificas da sociedade</w:t>
      </w:r>
      <w:r w:rsidR="000563C1" w:rsidRPr="00444E88">
        <w:t>.</w:t>
      </w:r>
    </w:p>
    <w:p w:rsidR="00135E53" w:rsidRPr="00CB5E6B" w:rsidRDefault="00C024E7" w:rsidP="00C024E7">
      <w:pPr>
        <w:rPr>
          <w:rFonts w:cs="Arial"/>
        </w:rPr>
      </w:pPr>
      <w:r w:rsidRPr="00444E88">
        <w:rPr>
          <w:rFonts w:cs="Arial"/>
        </w:rPr>
        <w:t xml:space="preserve">Por fim, ressalta-se que a </w:t>
      </w:r>
      <w:r w:rsidR="001020B3">
        <w:rPr>
          <w:rFonts w:cs="Arial"/>
        </w:rPr>
        <w:t>pesquisa científica está</w:t>
      </w:r>
      <w:bookmarkStart w:id="0" w:name="_GoBack"/>
      <w:bookmarkEnd w:id="0"/>
      <w:r w:rsidRPr="00444E88">
        <w:rPr>
          <w:rFonts w:cs="Arial"/>
        </w:rPr>
        <w:t xml:space="preserve"> em andamento</w:t>
      </w:r>
      <w:r w:rsidR="00135E53" w:rsidRPr="00444E88">
        <w:rPr>
          <w:rFonts w:cs="Arial"/>
        </w:rPr>
        <w:t xml:space="preserve"> e será finalizada após a an</w:t>
      </w:r>
      <w:r w:rsidR="00152F00" w:rsidRPr="00444E88">
        <w:rPr>
          <w:rFonts w:cs="Arial"/>
        </w:rPr>
        <w:t>á</w:t>
      </w:r>
      <w:r w:rsidR="00135E53" w:rsidRPr="00444E88">
        <w:rPr>
          <w:rFonts w:cs="Arial"/>
        </w:rPr>
        <w:t>lise de toda</w:t>
      </w:r>
      <w:r w:rsidR="00135E53" w:rsidRPr="00CB5E6B">
        <w:rPr>
          <w:rFonts w:cs="Arial"/>
        </w:rPr>
        <w:t xml:space="preserve">s as fontes qualitativas, a fim de dar suporte verossímil à pesquisa. </w:t>
      </w:r>
    </w:p>
    <w:p w:rsidR="00135E53" w:rsidRPr="00CB5E6B" w:rsidRDefault="00135E53" w:rsidP="00135E53">
      <w:pPr>
        <w:rPr>
          <w:rFonts w:cs="Arial"/>
        </w:rPr>
      </w:pPr>
    </w:p>
    <w:p w:rsidR="009D0723" w:rsidRPr="00CB5E6B" w:rsidRDefault="0082219D" w:rsidP="00711AA3">
      <w:pPr>
        <w:pStyle w:val="Ttulodaseoprimria"/>
        <w:jc w:val="left"/>
        <w:rPr>
          <w:sz w:val="24"/>
        </w:rPr>
      </w:pPr>
      <w:r w:rsidRPr="00CB5E6B">
        <w:rPr>
          <w:sz w:val="24"/>
        </w:rPr>
        <w:t>REFERÊNCIAS</w:t>
      </w:r>
    </w:p>
    <w:p w:rsidR="00F040DE" w:rsidRDefault="00F040DE" w:rsidP="00F040DE">
      <w:pPr>
        <w:spacing w:line="276" w:lineRule="auto"/>
        <w:ind w:firstLine="0"/>
        <w:rPr>
          <w:rFonts w:cs="Arial"/>
        </w:rPr>
      </w:pPr>
    </w:p>
    <w:p w:rsidR="00C217B5" w:rsidRDefault="00C217B5" w:rsidP="001469BB">
      <w:pPr>
        <w:spacing w:line="276" w:lineRule="auto"/>
        <w:ind w:firstLine="0"/>
        <w:rPr>
          <w:rFonts w:cs="Arial"/>
        </w:rPr>
      </w:pPr>
      <w:r w:rsidRPr="00C217B5">
        <w:rPr>
          <w:rFonts w:cs="Arial"/>
        </w:rPr>
        <w:t xml:space="preserve">CANOTILHO, J. J. Gomes. </w:t>
      </w:r>
      <w:r w:rsidRPr="00C217B5">
        <w:rPr>
          <w:rFonts w:cs="Arial"/>
          <w:b/>
        </w:rPr>
        <w:t>Direito Constitucional e Teoria da Constituição</w:t>
      </w:r>
      <w:r w:rsidRPr="00C217B5">
        <w:rPr>
          <w:rFonts w:cs="Arial"/>
        </w:rPr>
        <w:t>. 5 ed. – Portugal: Livraria Almedina, 2002.</w:t>
      </w:r>
    </w:p>
    <w:p w:rsidR="001469BB" w:rsidRPr="00C217B5" w:rsidRDefault="001469BB" w:rsidP="001469BB">
      <w:pPr>
        <w:spacing w:line="276" w:lineRule="auto"/>
        <w:ind w:firstLine="0"/>
        <w:rPr>
          <w:rFonts w:cs="Arial"/>
        </w:rPr>
      </w:pPr>
    </w:p>
    <w:p w:rsidR="00C217B5" w:rsidRPr="00C217B5" w:rsidRDefault="00C217B5" w:rsidP="00C217B5">
      <w:pPr>
        <w:pStyle w:val="PargrafodaLista"/>
        <w:spacing w:line="276" w:lineRule="auto"/>
        <w:ind w:left="0"/>
        <w:rPr>
          <w:rFonts w:ascii="Arial" w:hAnsi="Arial" w:cs="Arial"/>
          <w:color w:val="000000"/>
          <w:szCs w:val="24"/>
        </w:rPr>
      </w:pPr>
      <w:r w:rsidRPr="00C217B5">
        <w:rPr>
          <w:rFonts w:ascii="Arial" w:hAnsi="Arial" w:cs="Arial"/>
          <w:color w:val="000000"/>
          <w:szCs w:val="24"/>
        </w:rPr>
        <w:t xml:space="preserve">PISCITELLI, Roberto Bocaccio. </w:t>
      </w:r>
      <w:r w:rsidRPr="00C217B5">
        <w:rPr>
          <w:rFonts w:ascii="Arial" w:hAnsi="Arial" w:cs="Arial"/>
          <w:b/>
          <w:color w:val="000000"/>
          <w:szCs w:val="24"/>
        </w:rPr>
        <w:t>Orçamento impositivo: viabilidade, conveniência e oportunidade</w:t>
      </w:r>
      <w:r w:rsidRPr="00C217B5">
        <w:rPr>
          <w:rFonts w:ascii="Arial" w:hAnsi="Arial" w:cs="Arial"/>
          <w:color w:val="000000"/>
          <w:szCs w:val="24"/>
        </w:rPr>
        <w:t xml:space="preserve">. Biblioteca Digital Câmara dos Deputados Federais, Brasília – DF, 2007. </w:t>
      </w:r>
    </w:p>
    <w:p w:rsidR="00C217B5" w:rsidRPr="00C217B5" w:rsidRDefault="00C217B5" w:rsidP="00BB031F">
      <w:pPr>
        <w:spacing w:line="276" w:lineRule="auto"/>
        <w:ind w:firstLine="0"/>
        <w:rPr>
          <w:rFonts w:cs="Arial"/>
        </w:rPr>
      </w:pPr>
    </w:p>
    <w:p w:rsidR="00C217B5" w:rsidRDefault="00C217B5" w:rsidP="00924B3E">
      <w:pPr>
        <w:spacing w:line="276" w:lineRule="auto"/>
        <w:ind w:firstLine="0"/>
        <w:rPr>
          <w:rFonts w:cs="Arial"/>
        </w:rPr>
      </w:pPr>
      <w:r w:rsidRPr="00C217B5">
        <w:rPr>
          <w:rFonts w:cs="Arial"/>
        </w:rPr>
        <w:t>WANG, Daniel Wei</w:t>
      </w:r>
      <w:r w:rsidR="00B629F8">
        <w:rPr>
          <w:rFonts w:cs="Arial"/>
        </w:rPr>
        <w:t xml:space="preserve"> </w:t>
      </w:r>
      <w:r w:rsidRPr="00C217B5">
        <w:rPr>
          <w:rFonts w:cs="Arial"/>
        </w:rPr>
        <w:t xml:space="preserve">Liang. </w:t>
      </w:r>
      <w:r w:rsidRPr="00C217B5">
        <w:rPr>
          <w:rFonts w:cs="Arial"/>
          <w:b/>
        </w:rPr>
        <w:t>Escassez de recursos, custos dos direitos e reserva do possível na jurisprudência do STF</w:t>
      </w:r>
      <w:r w:rsidRPr="00C217B5">
        <w:rPr>
          <w:rFonts w:cs="Arial"/>
        </w:rPr>
        <w:t>. Revista Direito GV, p. 539-568, Sã</w:t>
      </w:r>
      <w:r w:rsidR="00924B3E">
        <w:rPr>
          <w:rFonts w:cs="Arial"/>
        </w:rPr>
        <w:t>o Paulo, Julho a dezembro 2008.</w:t>
      </w:r>
    </w:p>
    <w:sectPr w:rsidR="00C217B5" w:rsidSect="0082219D">
      <w:headerReference w:type="default" r:id="rId8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F4C" w:rsidRDefault="00987F4C" w:rsidP="00B11590">
      <w:r>
        <w:separator/>
      </w:r>
    </w:p>
  </w:endnote>
  <w:endnote w:type="continuationSeparator" w:id="1">
    <w:p w:rsidR="00987F4C" w:rsidRDefault="00987F4C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F4C" w:rsidRDefault="00987F4C" w:rsidP="00B11590">
      <w:r>
        <w:separator/>
      </w:r>
    </w:p>
  </w:footnote>
  <w:footnote w:type="continuationSeparator" w:id="1">
    <w:p w:rsidR="00987F4C" w:rsidRDefault="00987F4C" w:rsidP="00B11590">
      <w:r>
        <w:continuationSeparator/>
      </w:r>
    </w:p>
  </w:footnote>
  <w:footnote w:id="2">
    <w:p w:rsidR="00EC343B" w:rsidRPr="00EC343B" w:rsidRDefault="00EC343B" w:rsidP="00EC343B">
      <w:pPr>
        <w:pStyle w:val="Textodenotaderodap"/>
        <w:ind w:firstLine="0"/>
      </w:pPr>
      <w:r w:rsidRPr="00EC343B">
        <w:rPr>
          <w:rStyle w:val="Refdenotaderodap"/>
        </w:rPr>
        <w:footnoteRef/>
      </w:r>
      <w:r w:rsidRPr="00EC343B">
        <w:t>- Coautor. Discente da graduação em Direito pela FURG.</w:t>
      </w:r>
    </w:p>
  </w:footnote>
  <w:footnote w:id="3">
    <w:p w:rsidR="00B53B4D" w:rsidRDefault="00B53B4D" w:rsidP="00B53B4D">
      <w:pPr>
        <w:pStyle w:val="Textodenotaderodap"/>
        <w:ind w:firstLine="0"/>
      </w:pPr>
      <w:r>
        <w:rPr>
          <w:rStyle w:val="Refdenotaderodap"/>
        </w:rPr>
        <w:footnoteRef/>
      </w:r>
      <w:r>
        <w:t>- Coautora. Discente da graduação em Direito pela FURG.</w:t>
      </w:r>
    </w:p>
  </w:footnote>
  <w:footnote w:id="4">
    <w:p w:rsidR="009811E0" w:rsidRPr="00EC343B" w:rsidRDefault="009811E0" w:rsidP="009811E0">
      <w:pPr>
        <w:pStyle w:val="Textodenotaderodap"/>
        <w:ind w:firstLine="0"/>
      </w:pPr>
      <w:r w:rsidRPr="00EC343B">
        <w:rPr>
          <w:rStyle w:val="Refdenotaderodap"/>
        </w:rPr>
        <w:footnoteRef/>
      </w:r>
      <w:r w:rsidR="00C1520E" w:rsidRPr="00EC343B">
        <w:t xml:space="preserve">- </w:t>
      </w:r>
      <w:r w:rsidR="00C60433" w:rsidRPr="00EC343B">
        <w:t>Coautor</w:t>
      </w:r>
      <w:r w:rsidR="00EC343B" w:rsidRPr="00EC343B">
        <w:t>.</w:t>
      </w:r>
      <w:r w:rsidR="00C60433" w:rsidRPr="00EC343B">
        <w:t xml:space="preserve"> Discente da graduação em Direito pela FURG.</w:t>
      </w:r>
    </w:p>
  </w:footnote>
  <w:footnote w:id="5">
    <w:p w:rsidR="00B53B4D" w:rsidRDefault="00B53B4D" w:rsidP="00B53B4D">
      <w:pPr>
        <w:pStyle w:val="Textodenotaderodap"/>
        <w:ind w:firstLine="0"/>
      </w:pPr>
      <w:r>
        <w:rPr>
          <w:rStyle w:val="Refdenotaderodap"/>
        </w:rPr>
        <w:footnoteRef/>
      </w:r>
      <w:r>
        <w:t xml:space="preserve">- </w:t>
      </w:r>
      <w:r w:rsidRPr="00EC343B">
        <w:t>Coautor. Discente da graduação em Direito pela FURG.</w:t>
      </w:r>
    </w:p>
  </w:footnote>
  <w:footnote w:id="6">
    <w:p w:rsidR="00EC343B" w:rsidRDefault="00EC343B" w:rsidP="00EC343B">
      <w:pPr>
        <w:pStyle w:val="Textodenotaderodap"/>
        <w:ind w:firstLine="0"/>
      </w:pPr>
      <w:r>
        <w:rPr>
          <w:rStyle w:val="Refdenotaderodap"/>
        </w:rPr>
        <w:footnoteRef/>
      </w:r>
      <w:r>
        <w:t>- Autor. Discente da graduação em Direito pela FURG.</w:t>
      </w:r>
    </w:p>
  </w:footnote>
  <w:footnote w:id="7">
    <w:p w:rsidR="00BB031F" w:rsidRDefault="00BB031F" w:rsidP="00BB031F">
      <w:pPr>
        <w:pStyle w:val="Textodenotaderodap"/>
        <w:ind w:firstLine="0"/>
      </w:pPr>
      <w:r>
        <w:rPr>
          <w:rStyle w:val="Refdenotaderodap"/>
        </w:rPr>
        <w:footnoteRef/>
      </w:r>
      <w:r>
        <w:t>- Coautor. Discente da graduação em Economia pela FURG.</w:t>
      </w:r>
    </w:p>
  </w:footnote>
  <w:footnote w:id="8">
    <w:p w:rsidR="006773FC" w:rsidRDefault="006773FC" w:rsidP="006773FC">
      <w:pPr>
        <w:pStyle w:val="Textodenotaderodap"/>
        <w:ind w:firstLine="0"/>
      </w:pPr>
      <w:r>
        <w:rPr>
          <w:rStyle w:val="Refdenotaderodap"/>
        </w:rPr>
        <w:footnoteRef/>
      </w:r>
      <w:r>
        <w:t>- Coautor. Discente da graduação em Direito pela FURG.</w:t>
      </w:r>
    </w:p>
  </w:footnote>
  <w:footnote w:id="9">
    <w:p w:rsidR="00BB031F" w:rsidRDefault="00BB031F" w:rsidP="00BB031F">
      <w:pPr>
        <w:pStyle w:val="Textodenotaderodap"/>
        <w:ind w:firstLine="0"/>
      </w:pPr>
      <w:r>
        <w:rPr>
          <w:rStyle w:val="Refdenotaderodap"/>
        </w:rPr>
        <w:footnoteRef/>
      </w:r>
      <w:r>
        <w:t>- Coautora. Discente da graduação em Direito pela FURG.</w:t>
      </w:r>
    </w:p>
  </w:footnote>
  <w:footnote w:id="10">
    <w:p w:rsidR="001469BB" w:rsidRDefault="001469BB" w:rsidP="001469BB">
      <w:pPr>
        <w:pStyle w:val="Textodenotaderodap"/>
        <w:ind w:firstLine="0"/>
      </w:pPr>
      <w:r>
        <w:rPr>
          <w:rStyle w:val="Refdenotaderodap"/>
        </w:rPr>
        <w:footnoteRef/>
      </w:r>
      <w:r>
        <w:t>-</w:t>
      </w:r>
      <w:r w:rsidRPr="001469BB">
        <w:t xml:space="preserve"> Coautora. Discente da graduação em Direito pela FURG.</w:t>
      </w:r>
    </w:p>
  </w:footnote>
  <w:footnote w:id="11">
    <w:p w:rsidR="00C60433" w:rsidRPr="00EC343B" w:rsidRDefault="009811E0" w:rsidP="0009323D">
      <w:pPr>
        <w:pStyle w:val="Textodenotaderodap"/>
        <w:ind w:firstLine="0"/>
      </w:pPr>
      <w:r w:rsidRPr="00EC343B">
        <w:rPr>
          <w:rStyle w:val="Refdenotaderodap"/>
        </w:rPr>
        <w:footnoteRef/>
      </w:r>
      <w:r w:rsidR="00C1520E" w:rsidRPr="00EC343B">
        <w:t xml:space="preserve">- </w:t>
      </w:r>
      <w:r w:rsidR="00C60433" w:rsidRPr="00EC343B">
        <w:t xml:space="preserve">Coautor. </w:t>
      </w:r>
      <w:r w:rsidR="00C1520E" w:rsidRPr="00EC343B">
        <w:t xml:space="preserve">Professor orientador. Docente </w:t>
      </w:r>
      <w:r w:rsidR="00444E88" w:rsidRPr="00EC343B">
        <w:t xml:space="preserve">e </w:t>
      </w:r>
      <w:r w:rsidR="008C29E2">
        <w:t xml:space="preserve">Mestrando </w:t>
      </w:r>
      <w:r w:rsidR="00C60433" w:rsidRPr="00EC343B">
        <w:t>em Direito e Justiça Social</w:t>
      </w:r>
      <w:r w:rsidR="00C1520E" w:rsidRPr="00EC343B">
        <w:t xml:space="preserve"> pela</w:t>
      </w:r>
      <w:r w:rsidR="00C60433" w:rsidRPr="00EC343B">
        <w:t xml:space="preserve"> FURG.</w:t>
      </w:r>
    </w:p>
    <w:p w:rsidR="009811E0" w:rsidRDefault="009811E0" w:rsidP="009811E0">
      <w:pPr>
        <w:pStyle w:val="Textodenotaderodap"/>
        <w:ind w:firstLine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DF7" w:rsidRDefault="00411DF7" w:rsidP="001F3E6D">
    <w:pPr>
      <w:pStyle w:val="Cabealho"/>
      <w:jc w:val="center"/>
      <w:rPr>
        <w:rStyle w:val="Forte"/>
      </w:rPr>
    </w:pPr>
    <w:r>
      <w:rPr>
        <w:rStyle w:val="Forte"/>
      </w:rPr>
      <w:t>13ª Mostra da Produção Universitária</w:t>
    </w:r>
  </w:p>
  <w:p w:rsidR="00411DF7" w:rsidRDefault="00411DF7" w:rsidP="001F3E6D">
    <w:pPr>
      <w:pStyle w:val="Cabealho"/>
      <w:jc w:val="center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411DF7" w:rsidRDefault="00411DF7" w:rsidP="001F3E6D">
    <w:pPr>
      <w:pStyle w:val="Cabealho"/>
      <w:jc w:val="center"/>
    </w:pPr>
    <w:r>
      <w:rPr>
        <w:rStyle w:val="Forte"/>
        <w:b w:val="0"/>
        <w:sz w:val="18"/>
        <w:szCs w:val="20"/>
      </w:rPr>
      <w:t>Rio Grande/RS, Brasil, 14 a 17 de outubro de 2014.</w:t>
    </w:r>
  </w:p>
  <w:p w:rsidR="00411DF7" w:rsidRDefault="00411DF7" w:rsidP="00411DF7">
    <w:pPr>
      <w:pStyle w:val="Cabealho"/>
      <w:ind w:firstLine="0"/>
      <w:jc w:val="left"/>
      <w:rPr>
        <w:rStyle w:val="Forte"/>
        <w:b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D0723"/>
    <w:rsid w:val="00001E57"/>
    <w:rsid w:val="00002F97"/>
    <w:rsid w:val="000033F3"/>
    <w:rsid w:val="000155C3"/>
    <w:rsid w:val="00026074"/>
    <w:rsid w:val="00044C25"/>
    <w:rsid w:val="000563C1"/>
    <w:rsid w:val="000606B5"/>
    <w:rsid w:val="0006452C"/>
    <w:rsid w:val="0009323D"/>
    <w:rsid w:val="000942A0"/>
    <w:rsid w:val="0009583F"/>
    <w:rsid w:val="000C27C7"/>
    <w:rsid w:val="000D127E"/>
    <w:rsid w:val="000E4CE4"/>
    <w:rsid w:val="000F2E2B"/>
    <w:rsid w:val="000F630E"/>
    <w:rsid w:val="001020B3"/>
    <w:rsid w:val="00125006"/>
    <w:rsid w:val="00135E53"/>
    <w:rsid w:val="00142D23"/>
    <w:rsid w:val="0014458C"/>
    <w:rsid w:val="001469BB"/>
    <w:rsid w:val="00147A0F"/>
    <w:rsid w:val="00152F00"/>
    <w:rsid w:val="0016210C"/>
    <w:rsid w:val="0017167F"/>
    <w:rsid w:val="00171DB5"/>
    <w:rsid w:val="00173795"/>
    <w:rsid w:val="00185B3B"/>
    <w:rsid w:val="00185FE1"/>
    <w:rsid w:val="001B7173"/>
    <w:rsid w:val="001C2C7E"/>
    <w:rsid w:val="001C7B8C"/>
    <w:rsid w:val="001E496B"/>
    <w:rsid w:val="001F3E6D"/>
    <w:rsid w:val="00202ADB"/>
    <w:rsid w:val="00203D0A"/>
    <w:rsid w:val="00225280"/>
    <w:rsid w:val="00235632"/>
    <w:rsid w:val="00236A06"/>
    <w:rsid w:val="0024774D"/>
    <w:rsid w:val="0026315C"/>
    <w:rsid w:val="0029083B"/>
    <w:rsid w:val="002A7A57"/>
    <w:rsid w:val="002B441A"/>
    <w:rsid w:val="002F7617"/>
    <w:rsid w:val="00301038"/>
    <w:rsid w:val="003220E0"/>
    <w:rsid w:val="00324879"/>
    <w:rsid w:val="00335556"/>
    <w:rsid w:val="00355867"/>
    <w:rsid w:val="003656FA"/>
    <w:rsid w:val="00387DAD"/>
    <w:rsid w:val="003965AB"/>
    <w:rsid w:val="003C0392"/>
    <w:rsid w:val="003F27AE"/>
    <w:rsid w:val="004020F7"/>
    <w:rsid w:val="004054FF"/>
    <w:rsid w:val="00411DF7"/>
    <w:rsid w:val="004265B4"/>
    <w:rsid w:val="004301F0"/>
    <w:rsid w:val="004410D4"/>
    <w:rsid w:val="00444E88"/>
    <w:rsid w:val="004642F9"/>
    <w:rsid w:val="00493589"/>
    <w:rsid w:val="00497241"/>
    <w:rsid w:val="004F7A69"/>
    <w:rsid w:val="0050745F"/>
    <w:rsid w:val="00520FB9"/>
    <w:rsid w:val="00531E31"/>
    <w:rsid w:val="00533E0F"/>
    <w:rsid w:val="005502EF"/>
    <w:rsid w:val="00576341"/>
    <w:rsid w:val="00594247"/>
    <w:rsid w:val="005B69FA"/>
    <w:rsid w:val="005C1A1F"/>
    <w:rsid w:val="005D14FC"/>
    <w:rsid w:val="005E174D"/>
    <w:rsid w:val="005F7E4E"/>
    <w:rsid w:val="0060245C"/>
    <w:rsid w:val="006121CD"/>
    <w:rsid w:val="006577AA"/>
    <w:rsid w:val="006773FC"/>
    <w:rsid w:val="006A4184"/>
    <w:rsid w:val="006B0827"/>
    <w:rsid w:val="006C172E"/>
    <w:rsid w:val="006D16A6"/>
    <w:rsid w:val="006F1A5E"/>
    <w:rsid w:val="0070021A"/>
    <w:rsid w:val="00711AA3"/>
    <w:rsid w:val="00731B6A"/>
    <w:rsid w:val="007471D9"/>
    <w:rsid w:val="00757B2E"/>
    <w:rsid w:val="00760EE2"/>
    <w:rsid w:val="0077349E"/>
    <w:rsid w:val="00775682"/>
    <w:rsid w:val="00785021"/>
    <w:rsid w:val="00792A9A"/>
    <w:rsid w:val="007B09EF"/>
    <w:rsid w:val="007B2D0F"/>
    <w:rsid w:val="007C2D07"/>
    <w:rsid w:val="007C44B2"/>
    <w:rsid w:val="00800B19"/>
    <w:rsid w:val="008039DA"/>
    <w:rsid w:val="0082219D"/>
    <w:rsid w:val="00833271"/>
    <w:rsid w:val="00857155"/>
    <w:rsid w:val="008739C6"/>
    <w:rsid w:val="0089308C"/>
    <w:rsid w:val="008A4577"/>
    <w:rsid w:val="008C29E2"/>
    <w:rsid w:val="008F7AD0"/>
    <w:rsid w:val="0090521E"/>
    <w:rsid w:val="00924B3E"/>
    <w:rsid w:val="00941544"/>
    <w:rsid w:val="0095643F"/>
    <w:rsid w:val="009811E0"/>
    <w:rsid w:val="00987F4C"/>
    <w:rsid w:val="00997D51"/>
    <w:rsid w:val="009A15D4"/>
    <w:rsid w:val="009A321C"/>
    <w:rsid w:val="009B0959"/>
    <w:rsid w:val="009D0723"/>
    <w:rsid w:val="009F1118"/>
    <w:rsid w:val="00A00907"/>
    <w:rsid w:val="00A05C56"/>
    <w:rsid w:val="00A22793"/>
    <w:rsid w:val="00A756D1"/>
    <w:rsid w:val="00A771C1"/>
    <w:rsid w:val="00A802B0"/>
    <w:rsid w:val="00AB3C34"/>
    <w:rsid w:val="00B11590"/>
    <w:rsid w:val="00B35F32"/>
    <w:rsid w:val="00B42ED2"/>
    <w:rsid w:val="00B47385"/>
    <w:rsid w:val="00B50A0E"/>
    <w:rsid w:val="00B53B4D"/>
    <w:rsid w:val="00B56A76"/>
    <w:rsid w:val="00B629F8"/>
    <w:rsid w:val="00B71011"/>
    <w:rsid w:val="00B75EAB"/>
    <w:rsid w:val="00B90E5D"/>
    <w:rsid w:val="00B93A5E"/>
    <w:rsid w:val="00BB031F"/>
    <w:rsid w:val="00BC76BC"/>
    <w:rsid w:val="00BD3DE2"/>
    <w:rsid w:val="00C024E7"/>
    <w:rsid w:val="00C147F0"/>
    <w:rsid w:val="00C1520E"/>
    <w:rsid w:val="00C21235"/>
    <w:rsid w:val="00C217B5"/>
    <w:rsid w:val="00C245AE"/>
    <w:rsid w:val="00C27C28"/>
    <w:rsid w:val="00C341B4"/>
    <w:rsid w:val="00C34A14"/>
    <w:rsid w:val="00C374D4"/>
    <w:rsid w:val="00C47B84"/>
    <w:rsid w:val="00C55593"/>
    <w:rsid w:val="00C60433"/>
    <w:rsid w:val="00C664EF"/>
    <w:rsid w:val="00C950B7"/>
    <w:rsid w:val="00CB5E6B"/>
    <w:rsid w:val="00CC3E16"/>
    <w:rsid w:val="00CC41D4"/>
    <w:rsid w:val="00CE3310"/>
    <w:rsid w:val="00CF1835"/>
    <w:rsid w:val="00CF1B19"/>
    <w:rsid w:val="00D25A87"/>
    <w:rsid w:val="00D43862"/>
    <w:rsid w:val="00D56C84"/>
    <w:rsid w:val="00D740C6"/>
    <w:rsid w:val="00D84AF4"/>
    <w:rsid w:val="00D94E1F"/>
    <w:rsid w:val="00DB43F3"/>
    <w:rsid w:val="00DB6DC6"/>
    <w:rsid w:val="00DD1B99"/>
    <w:rsid w:val="00DE0C99"/>
    <w:rsid w:val="00DE6963"/>
    <w:rsid w:val="00E21F13"/>
    <w:rsid w:val="00E440C1"/>
    <w:rsid w:val="00E5758D"/>
    <w:rsid w:val="00E66823"/>
    <w:rsid w:val="00E83592"/>
    <w:rsid w:val="00EA51E0"/>
    <w:rsid w:val="00EB13F7"/>
    <w:rsid w:val="00EC343B"/>
    <w:rsid w:val="00EE50CF"/>
    <w:rsid w:val="00EF7FCA"/>
    <w:rsid w:val="00F040DE"/>
    <w:rsid w:val="00F34C67"/>
    <w:rsid w:val="00F56270"/>
    <w:rsid w:val="00F65AE9"/>
    <w:rsid w:val="00F91B47"/>
    <w:rsid w:val="00FB3E05"/>
    <w:rsid w:val="00FD16CA"/>
    <w:rsid w:val="00FF6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unhideWhenUsed/>
    <w:rsid w:val="000033F3"/>
    <w:rPr>
      <w:vertAlign w:val="superscript"/>
    </w:rPr>
  </w:style>
  <w:style w:type="character" w:customStyle="1" w:styleId="apple-converted-space">
    <w:name w:val="apple-converted-space"/>
    <w:rsid w:val="00173795"/>
  </w:style>
  <w:style w:type="paragraph" w:customStyle="1" w:styleId="Corpodetex">
    <w:name w:val="Corpo de tex"/>
    <w:basedOn w:val="Normal"/>
    <w:rsid w:val="00135E53"/>
    <w:pPr>
      <w:widowControl/>
      <w:ind w:firstLine="0"/>
    </w:pPr>
    <w:rPr>
      <w:rFonts w:ascii="Times New Roman" w:eastAsia="Times New Roman" w:hAnsi="Times New Roman"/>
      <w:kern w:val="0"/>
      <w:szCs w:val="20"/>
    </w:rPr>
  </w:style>
  <w:style w:type="paragraph" w:styleId="PargrafodaLista">
    <w:name w:val="List Paragraph"/>
    <w:basedOn w:val="Normal"/>
    <w:uiPriority w:val="34"/>
    <w:qFormat/>
    <w:rsid w:val="00C217B5"/>
    <w:pPr>
      <w:widowControl/>
      <w:suppressAutoHyphens w:val="0"/>
      <w:spacing w:line="360" w:lineRule="auto"/>
      <w:ind w:left="720" w:firstLine="0"/>
      <w:contextualSpacing/>
    </w:pPr>
    <w:rPr>
      <w:rFonts w:ascii="Times New Roman" w:eastAsiaTheme="minorHAnsi" w:hAnsi="Times New Roman" w:cstheme="minorBidi"/>
      <w:kern w:val="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unhideWhenUsed/>
    <w:rsid w:val="000033F3"/>
    <w:rPr>
      <w:vertAlign w:val="superscript"/>
    </w:rPr>
  </w:style>
  <w:style w:type="character" w:customStyle="1" w:styleId="apple-converted-space">
    <w:name w:val="apple-converted-space"/>
    <w:rsid w:val="00173795"/>
  </w:style>
  <w:style w:type="paragraph" w:customStyle="1" w:styleId="Corpodetex">
    <w:name w:val="Corpo de tex"/>
    <w:basedOn w:val="Normal"/>
    <w:rsid w:val="00135E53"/>
    <w:pPr>
      <w:widowControl/>
      <w:ind w:firstLine="0"/>
    </w:pPr>
    <w:rPr>
      <w:rFonts w:ascii="Times New Roman" w:eastAsia="Times New Roman" w:hAnsi="Times New Roman"/>
      <w:kern w:val="0"/>
      <w:szCs w:val="20"/>
    </w:rPr>
  </w:style>
  <w:style w:type="paragraph" w:styleId="PargrafodaLista">
    <w:name w:val="List Paragraph"/>
    <w:basedOn w:val="Normal"/>
    <w:uiPriority w:val="34"/>
    <w:qFormat/>
    <w:rsid w:val="00C217B5"/>
    <w:pPr>
      <w:widowControl/>
      <w:suppressAutoHyphens w:val="0"/>
      <w:spacing w:line="360" w:lineRule="auto"/>
      <w:ind w:left="720" w:firstLine="0"/>
      <w:contextualSpacing/>
    </w:pPr>
    <w:rPr>
      <w:rFonts w:ascii="Times New Roman" w:eastAsiaTheme="minorHAnsi" w:hAnsi="Times New Roman" w:cstheme="minorBidi"/>
      <w:kern w:val="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oniobittencourt@fu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4BFE0-F6C0-4E62-AA1C-25A2345C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Links>
    <vt:vector size="6" baseType="variant">
      <vt:variant>
        <vt:i4>1966120</vt:i4>
      </vt:variant>
      <vt:variant>
        <vt:i4>0</vt:i4>
      </vt:variant>
      <vt:variant>
        <vt:i4>0</vt:i4>
      </vt:variant>
      <vt:variant>
        <vt:i4>5</vt:i4>
      </vt:variant>
      <vt:variant>
        <vt:lpwstr>mailto:bfbandeira@gmail.com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USUARIO</cp:lastModifiedBy>
  <cp:revision>3</cp:revision>
  <cp:lastPrinted>2013-05-31T18:34:00Z</cp:lastPrinted>
  <dcterms:created xsi:type="dcterms:W3CDTF">2014-09-08T19:25:00Z</dcterms:created>
  <dcterms:modified xsi:type="dcterms:W3CDTF">2014-09-08T19:28:00Z</dcterms:modified>
</cp:coreProperties>
</file>