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3B" w:rsidRDefault="00DF5BB2" w:rsidP="00DF5BB2">
      <w:pPr>
        <w:ind w:firstLine="0"/>
        <w:jc w:val="center"/>
        <w:rPr>
          <w:b/>
        </w:rPr>
      </w:pPr>
      <w:r>
        <w:rPr>
          <w:b/>
        </w:rPr>
        <w:t xml:space="preserve">Caracterização magnética do supercondutor </w:t>
      </w:r>
      <w:proofErr w:type="gramStart"/>
      <w:r>
        <w:rPr>
          <w:b/>
        </w:rPr>
        <w:t>FeSe</w:t>
      </w:r>
      <w:r>
        <w:rPr>
          <w:b/>
          <w:vertAlign w:val="subscript"/>
        </w:rPr>
        <w:t>0</w:t>
      </w:r>
      <w:proofErr w:type="gramEnd"/>
      <w:r>
        <w:rPr>
          <w:b/>
          <w:vertAlign w:val="subscript"/>
        </w:rPr>
        <w:t>.5</w:t>
      </w:r>
      <w:r>
        <w:rPr>
          <w:b/>
        </w:rPr>
        <w:t>Te</w:t>
      </w:r>
      <w:r>
        <w:rPr>
          <w:b/>
          <w:vertAlign w:val="subscript"/>
        </w:rPr>
        <w:t>0.5</w:t>
      </w:r>
    </w:p>
    <w:p w:rsidR="00DF5BB2" w:rsidRDefault="00DF5BB2" w:rsidP="00DF5BB2">
      <w:pPr>
        <w:ind w:firstLine="0"/>
        <w:jc w:val="center"/>
        <w:rPr>
          <w:b/>
        </w:rPr>
      </w:pPr>
    </w:p>
    <w:p w:rsidR="0029083B" w:rsidRDefault="0029083B" w:rsidP="0029083B">
      <w:pPr>
        <w:ind w:firstLine="0"/>
        <w:jc w:val="right"/>
        <w:rPr>
          <w:b/>
        </w:rPr>
      </w:pPr>
    </w:p>
    <w:p w:rsidR="00C47B84" w:rsidRDefault="00DF5BB2" w:rsidP="0029083B">
      <w:pPr>
        <w:ind w:firstLine="0"/>
        <w:jc w:val="right"/>
        <w:rPr>
          <w:b/>
        </w:rPr>
      </w:pPr>
      <w:r>
        <w:rPr>
          <w:b/>
        </w:rPr>
        <w:t>REIMBRECHT</w:t>
      </w:r>
      <w:r w:rsidR="00C47B84">
        <w:rPr>
          <w:b/>
        </w:rPr>
        <w:t>,</w:t>
      </w:r>
      <w:proofErr w:type="gramStart"/>
      <w:r w:rsidR="00C47B84">
        <w:rPr>
          <w:b/>
        </w:rPr>
        <w:t xml:space="preserve">  </w:t>
      </w:r>
      <w:proofErr w:type="gramEnd"/>
      <w:r>
        <w:rPr>
          <w:b/>
        </w:rPr>
        <w:t xml:space="preserve">Rafael </w:t>
      </w:r>
      <w:proofErr w:type="spellStart"/>
      <w:r>
        <w:rPr>
          <w:b/>
        </w:rPr>
        <w:t>Reimbrecht</w:t>
      </w:r>
      <w:proofErr w:type="spellEnd"/>
      <w:r>
        <w:rPr>
          <w:b/>
        </w:rPr>
        <w:t xml:space="preserve"> Garcia</w:t>
      </w:r>
    </w:p>
    <w:p w:rsidR="00C47B84" w:rsidRDefault="00DF5BB2" w:rsidP="0029083B">
      <w:pPr>
        <w:ind w:firstLine="0"/>
        <w:jc w:val="right"/>
        <w:rPr>
          <w:b/>
        </w:rPr>
      </w:pPr>
      <w:r>
        <w:rPr>
          <w:b/>
        </w:rPr>
        <w:t>PIMENTEL</w:t>
      </w:r>
      <w:r w:rsidR="00C47B84">
        <w:rPr>
          <w:b/>
        </w:rPr>
        <w:t>,</w:t>
      </w:r>
      <w:proofErr w:type="gramStart"/>
      <w:r w:rsidR="00C47B84">
        <w:rPr>
          <w:b/>
        </w:rPr>
        <w:t xml:space="preserve">  </w:t>
      </w:r>
      <w:proofErr w:type="gramEnd"/>
      <w:r>
        <w:rPr>
          <w:b/>
        </w:rPr>
        <w:t>Jorge Luiz Pimentel Junior</w:t>
      </w:r>
    </w:p>
    <w:p w:rsidR="00C47B84" w:rsidRDefault="00DF5BB2" w:rsidP="00A771C1">
      <w:pPr>
        <w:ind w:firstLine="0"/>
        <w:jc w:val="right"/>
        <w:rPr>
          <w:b/>
        </w:rPr>
      </w:pPr>
      <w:r>
        <w:rPr>
          <w:b/>
        </w:rPr>
        <w:t>rafareimbrecht@hotmail.com</w:t>
      </w:r>
    </w:p>
    <w:p w:rsidR="00A771C1" w:rsidRDefault="00A771C1" w:rsidP="00A771C1">
      <w:pPr>
        <w:ind w:firstLine="0"/>
        <w:jc w:val="right"/>
        <w:rPr>
          <w:b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A12F3C" w:rsidRPr="00A12F3C">
        <w:rPr>
          <w:rFonts w:cs="Arial"/>
          <w:b/>
          <w:color w:val="000000"/>
        </w:rPr>
        <w:t>Congresso de Iniciação Científica</w:t>
      </w:r>
    </w:p>
    <w:p w:rsidR="00C47B84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A12F3C">
        <w:rPr>
          <w:b/>
        </w:rPr>
        <w:t>Supercondutividade</w:t>
      </w:r>
      <w:bookmarkStart w:id="0" w:name="_GoBack"/>
      <w:bookmarkEnd w:id="0"/>
    </w:p>
    <w:p w:rsidR="001A10FF" w:rsidRPr="00FB3E05" w:rsidRDefault="001A10FF" w:rsidP="00711AA3">
      <w:pPr>
        <w:ind w:firstLine="0"/>
        <w:jc w:val="right"/>
        <w:rPr>
          <w:b/>
        </w:rPr>
      </w:pP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A56E01">
        <w:rPr>
          <w:b/>
        </w:rPr>
        <w:t xml:space="preserve">: </w:t>
      </w:r>
      <w:r w:rsidR="00DF5BB2">
        <w:t>supercondutores</w:t>
      </w:r>
      <w:r w:rsidR="00A56E01" w:rsidRPr="00BE7921">
        <w:t xml:space="preserve">; </w:t>
      </w:r>
      <w:r w:rsidR="00DF5BB2">
        <w:t>magnetização</w:t>
      </w:r>
      <w:r w:rsidR="00A56E01" w:rsidRPr="00BE7921">
        <w:t xml:space="preserve">; </w:t>
      </w:r>
      <w:proofErr w:type="gramStart"/>
      <w:r w:rsidR="00DF5BB2" w:rsidRPr="00DF5BB2">
        <w:t>FeSe</w:t>
      </w:r>
      <w:r w:rsidR="00DF5BB2" w:rsidRPr="00DF5BB2">
        <w:rPr>
          <w:vertAlign w:val="subscript"/>
        </w:rPr>
        <w:t>0</w:t>
      </w:r>
      <w:proofErr w:type="gramEnd"/>
      <w:r w:rsidR="00DF5BB2" w:rsidRPr="00DF5BB2">
        <w:rPr>
          <w:vertAlign w:val="subscript"/>
        </w:rPr>
        <w:t>.5</w:t>
      </w:r>
      <w:r w:rsidR="00DF5BB2" w:rsidRPr="00DF5BB2">
        <w:t>Te</w:t>
      </w:r>
      <w:r w:rsidR="00DF5BB2" w:rsidRPr="00DF5BB2">
        <w:rPr>
          <w:vertAlign w:val="subscript"/>
        </w:rPr>
        <w:t>0.5</w:t>
      </w:r>
    </w:p>
    <w:p w:rsidR="003220E0" w:rsidRPr="00FB3E05" w:rsidRDefault="003220E0" w:rsidP="0029083B">
      <w:pPr>
        <w:pStyle w:val="Ttulodaseoprimria"/>
      </w:pPr>
    </w:p>
    <w:p w:rsidR="009D0723" w:rsidRPr="007345DE" w:rsidRDefault="0082219D" w:rsidP="0029083B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9D0723" w:rsidRPr="00B85630" w:rsidRDefault="009D0723" w:rsidP="0029083B">
      <w:pPr>
        <w:ind w:left="709" w:firstLine="0"/>
      </w:pPr>
    </w:p>
    <w:p w:rsidR="00DE4AB2" w:rsidRDefault="00007995" w:rsidP="00007995">
      <w:r w:rsidRPr="00057501">
        <w:t xml:space="preserve">A descoberta </w:t>
      </w:r>
      <w:r w:rsidR="001D35BD">
        <w:t xml:space="preserve">da supercondutividade no composto </w:t>
      </w:r>
      <w:proofErr w:type="gramStart"/>
      <w:r w:rsidR="006B6EE8" w:rsidRPr="006B6EE8">
        <w:t>La[</w:t>
      </w:r>
      <w:proofErr w:type="gramEnd"/>
      <w:r w:rsidR="006B6EE8" w:rsidRPr="006B6EE8">
        <w:t>O</w:t>
      </w:r>
      <w:r w:rsidR="006B6EE8" w:rsidRPr="006B6EE8">
        <w:rPr>
          <w:vertAlign w:val="subscript"/>
        </w:rPr>
        <w:t>1-x</w:t>
      </w:r>
      <w:r w:rsidR="006B6EE8" w:rsidRPr="006B6EE8">
        <w:t>F</w:t>
      </w:r>
      <w:r w:rsidR="006B6EE8" w:rsidRPr="006B6EE8">
        <w:rPr>
          <w:vertAlign w:val="subscript"/>
        </w:rPr>
        <w:t>x</w:t>
      </w:r>
      <w:r w:rsidR="006B6EE8" w:rsidRPr="006B6EE8">
        <w:t>]</w:t>
      </w:r>
      <w:proofErr w:type="spellStart"/>
      <w:r w:rsidR="006B6EE8" w:rsidRPr="006B6EE8">
        <w:t>FeAs</w:t>
      </w:r>
      <w:proofErr w:type="spellEnd"/>
      <w:r w:rsidR="001D35BD">
        <w:t xml:space="preserve"> iniciou a era </w:t>
      </w:r>
      <w:r w:rsidRPr="00057501">
        <w:t>dos supercondutores baseados em ferro</w:t>
      </w:r>
      <w:r w:rsidR="001D35BD">
        <w:t>,</w:t>
      </w:r>
      <w:r w:rsidR="00DE4AB2">
        <w:t xml:space="preserve"> </w:t>
      </w:r>
      <w:r w:rsidR="001D35BD">
        <w:t>viabilizando</w:t>
      </w:r>
      <w:r w:rsidRPr="00057501">
        <w:t xml:space="preserve"> o estudo numa ampla gama de sistemas em que se observam correlações entre supercondutividade e </w:t>
      </w:r>
      <w:r w:rsidRPr="003D3BE6">
        <w:t xml:space="preserve">magnetismo. Estes fenômenos, atuando de forma cooperativa, </w:t>
      </w:r>
      <w:r w:rsidR="001D35BD" w:rsidRPr="003D3BE6">
        <w:t>confrontam</w:t>
      </w:r>
      <w:r w:rsidRPr="003D3BE6">
        <w:t xml:space="preserve"> diretamente a concepção tradicional da supercondutividade. Em geral, a possibilidade de coexistência de um estado supercondutor estável com um ordenamento magnético é descartada, uma vez que a interação eletromagnética propicia a quebra dos pares de Cooper. </w:t>
      </w:r>
      <w:r w:rsidR="00DE4AB2" w:rsidRPr="003D3BE6">
        <w:t>A substituição do arsênio por selênio viabiliza a preparação de amostras de fácil manipulação</w:t>
      </w:r>
      <w:r w:rsidR="001D35BD" w:rsidRPr="003D3BE6">
        <w:t xml:space="preserve"> d</w:t>
      </w:r>
      <w:r w:rsidR="00DE4AB2" w:rsidRPr="003D3BE6">
        <w:t>o sistema</w:t>
      </w:r>
      <w:r w:rsidRPr="003D3BE6">
        <w:t xml:space="preserve"> Fe</w:t>
      </w:r>
      <w:r w:rsidRPr="003D3BE6">
        <w:rPr>
          <w:vertAlign w:val="subscript"/>
        </w:rPr>
        <w:t>1+</w:t>
      </w:r>
      <w:proofErr w:type="gramStart"/>
      <w:r w:rsidRPr="003D3BE6">
        <w:rPr>
          <w:vertAlign w:val="subscript"/>
        </w:rPr>
        <w:t>y</w:t>
      </w:r>
      <w:r w:rsidRPr="003D3BE6">
        <w:t>Se</w:t>
      </w:r>
      <w:r w:rsidRPr="003D3BE6">
        <w:rPr>
          <w:vertAlign w:val="subscript"/>
        </w:rPr>
        <w:t>1</w:t>
      </w:r>
      <w:proofErr w:type="gramEnd"/>
      <w:r w:rsidRPr="003D3BE6">
        <w:rPr>
          <w:rFonts w:eastAsia="CMSY8"/>
          <w:vertAlign w:val="subscript"/>
        </w:rPr>
        <w:t>−</w:t>
      </w:r>
      <w:r w:rsidRPr="003D3BE6">
        <w:rPr>
          <w:vertAlign w:val="subscript"/>
        </w:rPr>
        <w:t>x</w:t>
      </w:r>
      <w:r w:rsidRPr="003D3BE6">
        <w:t>Te</w:t>
      </w:r>
      <w:r w:rsidRPr="003D3BE6">
        <w:rPr>
          <w:vertAlign w:val="subscript"/>
        </w:rPr>
        <w:t>x</w:t>
      </w:r>
      <w:r w:rsidR="00F339F5" w:rsidRPr="003D3BE6">
        <w:t>,</w:t>
      </w:r>
      <w:r w:rsidR="00DE4AB2" w:rsidRPr="003D3BE6">
        <w:t xml:space="preserve"> </w:t>
      </w:r>
      <w:proofErr w:type="gramStart"/>
      <w:r w:rsidR="00DE4AB2" w:rsidRPr="003D3BE6">
        <w:t>com</w:t>
      </w:r>
      <w:proofErr w:type="gramEnd"/>
      <w:r w:rsidR="00DE4AB2" w:rsidRPr="003D3BE6">
        <w:t xml:space="preserve"> temperatura crítica máxima </w:t>
      </w:r>
      <w:proofErr w:type="spellStart"/>
      <w:r w:rsidR="00DE4AB2" w:rsidRPr="003D3BE6">
        <w:t>T</w:t>
      </w:r>
      <w:r w:rsidR="00DE4AB2" w:rsidRPr="003D3BE6">
        <w:rPr>
          <w:vertAlign w:val="subscript"/>
        </w:rPr>
        <w:t>c</w:t>
      </w:r>
      <w:proofErr w:type="spellEnd"/>
      <w:r w:rsidR="00DE4AB2" w:rsidRPr="003D3BE6">
        <w:t xml:space="preserve"> ~ 15K para x = 0.5.</w:t>
      </w:r>
      <w:r w:rsidRPr="003D3BE6">
        <w:t xml:space="preserve"> O ordenamento magnético </w:t>
      </w:r>
      <w:r w:rsidR="001D35BD" w:rsidRPr="003D3BE6">
        <w:t>deste sistema</w:t>
      </w:r>
      <w:r w:rsidRPr="003D3BE6">
        <w:t xml:space="preserve"> atrai considerável atenção em razão da rica fenomenologia observada. </w:t>
      </w:r>
      <w:r w:rsidR="00DE4AB2" w:rsidRPr="003D3BE6">
        <w:t>Neste trabalho,</w:t>
      </w:r>
      <w:r w:rsidR="001D35BD" w:rsidRPr="003D3BE6">
        <w:t xml:space="preserve"> serão preparadas amostras de Fe</w:t>
      </w:r>
      <w:r w:rsidR="001D35BD" w:rsidRPr="003D3BE6">
        <w:rPr>
          <w:vertAlign w:val="subscript"/>
        </w:rPr>
        <w:t>1+</w:t>
      </w:r>
      <w:proofErr w:type="gramStart"/>
      <w:r w:rsidR="001D35BD" w:rsidRPr="003D3BE6">
        <w:rPr>
          <w:vertAlign w:val="subscript"/>
        </w:rPr>
        <w:t>y</w:t>
      </w:r>
      <w:r w:rsidR="001D35BD" w:rsidRPr="003D3BE6">
        <w:t>Se</w:t>
      </w:r>
      <w:r w:rsidR="001D35BD" w:rsidRPr="003D3BE6">
        <w:rPr>
          <w:vertAlign w:val="subscript"/>
        </w:rPr>
        <w:t>1</w:t>
      </w:r>
      <w:proofErr w:type="gramEnd"/>
      <w:r w:rsidR="001D35BD" w:rsidRPr="003D3BE6">
        <w:rPr>
          <w:rFonts w:eastAsia="CMSY8"/>
          <w:vertAlign w:val="subscript"/>
        </w:rPr>
        <w:t>−</w:t>
      </w:r>
      <w:r w:rsidR="001D35BD" w:rsidRPr="003D3BE6">
        <w:rPr>
          <w:vertAlign w:val="subscript"/>
        </w:rPr>
        <w:t>x</w:t>
      </w:r>
      <w:r w:rsidR="001D35BD" w:rsidRPr="003D3BE6">
        <w:t>Te</w:t>
      </w:r>
      <w:r w:rsidR="001D35BD" w:rsidRPr="003D3BE6">
        <w:rPr>
          <w:vertAlign w:val="subscript"/>
        </w:rPr>
        <w:t>x</w:t>
      </w:r>
      <w:r w:rsidR="001D35BD" w:rsidRPr="003D3BE6">
        <w:t xml:space="preserve"> </w:t>
      </w:r>
      <w:r w:rsidR="00DE4AB2" w:rsidRPr="003D3BE6">
        <w:t xml:space="preserve">através </w:t>
      </w:r>
      <w:r w:rsidR="001D35BD" w:rsidRPr="003D3BE6">
        <w:t xml:space="preserve">do método de </w:t>
      </w:r>
      <w:proofErr w:type="spellStart"/>
      <w:r w:rsidR="00A3238F" w:rsidRPr="003D3BE6">
        <w:t>auto-fluxo</w:t>
      </w:r>
      <w:proofErr w:type="spellEnd"/>
      <w:r w:rsidR="001D35BD" w:rsidRPr="003D3BE6">
        <w:t xml:space="preserve">. </w:t>
      </w:r>
      <w:r w:rsidR="001A2AE8" w:rsidRPr="003D3BE6">
        <w:t>Por intermédio</w:t>
      </w:r>
      <w:r w:rsidR="001D35BD" w:rsidRPr="003D3BE6">
        <w:t xml:space="preserve"> </w:t>
      </w:r>
      <w:r w:rsidR="00DE4AB2" w:rsidRPr="003D3BE6">
        <w:t xml:space="preserve">de medidas de magnetização em função da temperatura, será apresentado um estudo sobre as propriedades magnéticas </w:t>
      </w:r>
      <w:r w:rsidR="001D35BD" w:rsidRPr="003D3BE6">
        <w:t>nas</w:t>
      </w:r>
      <w:r w:rsidR="00DE4AB2" w:rsidRPr="003D3BE6">
        <w:t xml:space="preserve"> amostras </w:t>
      </w:r>
      <w:r w:rsidR="001D35BD" w:rsidRPr="003D3BE6">
        <w:t>obtidas.</w:t>
      </w:r>
    </w:p>
    <w:p w:rsidR="009D0723" w:rsidRDefault="009D0723" w:rsidP="0029083B"/>
    <w:p w:rsidR="009D0723" w:rsidRPr="00BE7921" w:rsidRDefault="001A10FF" w:rsidP="001A10FF">
      <w:pPr>
        <w:ind w:firstLine="0"/>
        <w:jc w:val="left"/>
        <w:rPr>
          <w:b/>
        </w:rPr>
      </w:pPr>
      <w:proofErr w:type="gramStart"/>
      <w:r w:rsidRPr="00BE7921">
        <w:rPr>
          <w:b/>
        </w:rPr>
        <w:t>2</w:t>
      </w:r>
      <w:proofErr w:type="gramEnd"/>
      <w:r w:rsidRPr="00BE7921">
        <w:rPr>
          <w:b/>
        </w:rPr>
        <w:t xml:space="preserve"> REFERENCIAL TEÓRICO</w:t>
      </w:r>
    </w:p>
    <w:p w:rsidR="001A10FF" w:rsidRPr="00BE7921" w:rsidRDefault="001A10FF" w:rsidP="001A10FF">
      <w:pPr>
        <w:ind w:firstLine="0"/>
        <w:jc w:val="left"/>
        <w:rPr>
          <w:b/>
        </w:rPr>
      </w:pPr>
    </w:p>
    <w:p w:rsidR="003E5440" w:rsidRDefault="003551F1" w:rsidP="00C96F69">
      <w:r>
        <w:t>A origem do magnetismo observado nos supercondutores baseados em ferro é causa de muita discussão na comunidade científica.</w:t>
      </w:r>
      <w:r w:rsidR="00124510">
        <w:t xml:space="preserve"> </w:t>
      </w:r>
      <w:r w:rsidR="00891E56">
        <w:t xml:space="preserve">Por </w:t>
      </w:r>
      <w:r w:rsidR="00FF600F">
        <w:t xml:space="preserve">esse motivo </w:t>
      </w:r>
      <w:r w:rsidR="00891E56">
        <w:t xml:space="preserve">é interessante analisar </w:t>
      </w:r>
      <w:r w:rsidR="00FF600F">
        <w:t xml:space="preserve">dois tipos de magnetismo: o localizado e o itinerante. </w:t>
      </w:r>
      <w:r w:rsidR="00375C8C">
        <w:t xml:space="preserve">Magnetismo localizado origina-se das camadas eletrônicas incompletas de parte ou da totalidade dos átomos constituintes do material, ou seja, os elétrons </w:t>
      </w:r>
      <w:r w:rsidR="000A25A9">
        <w:t xml:space="preserve">ficam localizados na região dos íons da rede. Por outro lado, magnetismo itinerante é </w:t>
      </w:r>
      <w:r w:rsidR="00CD7458">
        <w:t>característico de sistemas metálicos</w:t>
      </w:r>
      <w:r w:rsidR="000A25A9">
        <w:t xml:space="preserve">, têm maior mobilidade eletrônica e </w:t>
      </w:r>
      <w:r w:rsidR="00CD7458">
        <w:t>deve-se</w:t>
      </w:r>
      <w:r w:rsidR="000A25A9">
        <w:t xml:space="preserve"> a elétrons de banda, cujas funções de onda estendem-se por longas dist</w:t>
      </w:r>
      <w:r w:rsidR="00CD7458">
        <w:t xml:space="preserve">âncias no volume do material. </w:t>
      </w:r>
      <w:r w:rsidR="00702A05">
        <w:t>De modo</w:t>
      </w:r>
      <w:r w:rsidR="006F4750">
        <w:t xml:space="preserve"> geral, a comunidade científica trata magnetismo localizado como funções de onda localizadas no espaço real, e magnetismo itinerante no espaço recíproco.</w:t>
      </w:r>
      <w:r>
        <w:rPr>
          <w:b/>
        </w:rPr>
        <w:tab/>
      </w:r>
      <w:r>
        <w:t>Neste trabalho faremos uso da teoria de Curie para analisar os resultados obtidos nas medidas de magnetização em função da temperatura</w:t>
      </w:r>
      <w:r w:rsidRPr="00F262BF">
        <w:t>.</w:t>
      </w:r>
      <w:r w:rsidR="00F262BF" w:rsidRPr="00F262BF">
        <w:t xml:space="preserve"> </w:t>
      </w:r>
      <w:r w:rsidR="009F4ED8">
        <w:t>Esta</w:t>
      </w:r>
      <w:r w:rsidR="00F262BF" w:rsidRPr="00F262BF">
        <w:t xml:space="preserve"> </w:t>
      </w:r>
      <w:r w:rsidR="009F4ED8">
        <w:t>lei</w:t>
      </w:r>
      <w:r w:rsidR="00A93793">
        <w:t xml:space="preserve"> </w:t>
      </w:r>
      <w:r w:rsidR="00787BE3">
        <w:t xml:space="preserve">institui que a suscetibilidade magnética </w:t>
      </w:r>
      <m:oMath>
        <m:r>
          <w:rPr>
            <w:rFonts w:ascii="Cambria Math" w:hAnsi="Cambria Math"/>
          </w:rPr>
          <m:t>χ</m:t>
        </m:r>
      </m:oMath>
      <w:r w:rsidR="00787BE3">
        <w:t xml:space="preserve"> é inversamente proporcional </w:t>
      </w:r>
      <w:r w:rsidR="00111334">
        <w:t>à</w:t>
      </w:r>
      <w:r w:rsidR="00787BE3">
        <w:t xml:space="preserve"> temperatura</w:t>
      </w:r>
      <w:r w:rsidR="00647D58">
        <w:t xml:space="preserve"> </w:t>
      </w:r>
      <w:r w:rsidR="00787BE3">
        <w:t xml:space="preserve">e </w:t>
      </w:r>
      <w:r w:rsidR="00A93793">
        <w:t>é descrit</w:t>
      </w:r>
      <w:r w:rsidR="00C96F69">
        <w:t xml:space="preserve">a como </w:t>
      </w:r>
      <m:oMath>
        <m:r>
          <w:rPr>
            <w:rFonts w:ascii="Cambria Math" w:hAnsi="Cambria Math"/>
          </w:rPr>
          <m:t>χ=</m:t>
        </m:r>
        <m:f>
          <m:fPr>
            <m:ctrlPr>
              <w:rPr>
                <w:rFonts w:ascii="Cambria Math" w:eastAsia="Calibri" w:hAnsi="Cambria Math"/>
                <w:i/>
                <w:kern w:val="0"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 w:rsidR="00C96F69">
        <w:rPr>
          <w:kern w:val="0"/>
          <w:sz w:val="22"/>
          <w:szCs w:val="22"/>
          <w:lang w:eastAsia="en-US"/>
        </w:rPr>
        <w:t xml:space="preserve">, </w:t>
      </w:r>
      <w:r w:rsidR="00286CEA">
        <w:t xml:space="preserve">onde </w:t>
      </w:r>
      <m:oMath>
        <m:r>
          <w:rPr>
            <w:rFonts w:ascii="Cambria Math" w:hAnsi="Cambria Math"/>
          </w:rPr>
          <m:t>C</m:t>
        </m:r>
      </m:oMath>
      <w:r w:rsidR="00286CEA">
        <w:t xml:space="preserve"> é a constante de Curie</w:t>
      </w:r>
      <w:r w:rsidR="00C96F69">
        <w:t>. P</w:t>
      </w:r>
      <w:r w:rsidR="00861792">
        <w:t xml:space="preserve">ara temperaturas altas a </w:t>
      </w:r>
      <w:r w:rsidR="007477A8">
        <w:t>suscetibilidade</w:t>
      </w:r>
      <w:r w:rsidR="00861792">
        <w:t xml:space="preserve"> é descrita </w:t>
      </w:r>
      <w:r w:rsidR="00FB0428">
        <w:t>pela lei de Curie-Weiss e é dada p</w:t>
      </w:r>
      <w:r w:rsidR="00861792">
        <w:t>o</w:t>
      </w:r>
      <w:r w:rsidR="00FB0428">
        <w:t>r</w:t>
      </w:r>
      <w:r w:rsidR="00861792">
        <w:t xml:space="preserve"> </w:t>
      </w:r>
      <m:oMath>
        <m:r>
          <w:rPr>
            <w:rFonts w:ascii="Cambria Math" w:hAnsi="Cambria Math"/>
          </w:rPr>
          <m:t>χ=</m:t>
        </m:r>
        <m:f>
          <m:fPr>
            <m:ctrlPr>
              <w:rPr>
                <w:rFonts w:ascii="Cambria Math" w:eastAsia="Calibri" w:hAnsi="Cambria Math"/>
                <w:i/>
                <w:kern w:val="0"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T-</m:t>
            </m:r>
            <m:sSub>
              <m:sSubPr>
                <m:ctrlPr>
                  <w:rPr>
                    <w:rFonts w:ascii="Cambria Math" w:eastAsia="Calibri" w:hAnsi="Cambria Math"/>
                    <w:i/>
                    <w:kern w:val="0"/>
                    <w:sz w:val="22"/>
                    <w:szCs w:val="22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den>
        </m:f>
        <w:proofErr w:type="gramStart"/>
        <m:r>
          <w:rPr>
            <w:rFonts w:ascii="Cambria Math" w:hAnsi="Cambria Math"/>
          </w:rPr>
          <m:t xml:space="preserve"> </m:t>
        </m:r>
      </m:oMath>
      <w:r w:rsidR="00C96F69">
        <w:t>,</w:t>
      </w:r>
      <w:proofErr w:type="gramEnd"/>
      <w:r w:rsidR="00C96F69">
        <w:t xml:space="preserve"> </w:t>
      </w:r>
      <w:r w:rsidR="00FB0428">
        <w:t>o</w:t>
      </w:r>
      <w:r w:rsidR="007477A8">
        <w:t xml:space="preserve">nde </w:t>
      </w:r>
      <m:oMath>
        <m:sSub>
          <m:sSubPr>
            <m:ctrlPr>
              <w:rPr>
                <w:rFonts w:ascii="Cambria Math" w:eastAsia="Calibri" w:hAnsi="Cambria Math"/>
                <w:i/>
                <w:kern w:val="0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7477A8">
        <w:t xml:space="preserve"> é </w:t>
      </w:r>
      <w:r w:rsidR="00FB0428">
        <w:t>denominada como</w:t>
      </w:r>
      <w:r w:rsidR="007477A8">
        <w:t xml:space="preserve"> temperatura de Curie</w:t>
      </w:r>
      <w:r w:rsidR="00D57A41">
        <w:t>.</w:t>
      </w:r>
      <w:r w:rsidR="00B812E3">
        <w:t xml:space="preserve"> Neste caso, </w:t>
      </w:r>
      <w:r w:rsidR="00B812E3" w:rsidRPr="00C96F69">
        <w:rPr>
          <w:rFonts w:cs="Arial"/>
        </w:rPr>
        <w:t xml:space="preserve">quando T = </w:t>
      </w:r>
      <m:oMath>
        <m:sSub>
          <m:sSubPr>
            <m:ctrlPr>
              <w:rPr>
                <w:rFonts w:ascii="Cambria Math" w:eastAsia="Calibri" w:hAnsi="Cambria Math" w:cs="Arial"/>
                <w:i/>
                <w:kern w:val="0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 w:cs="Arial"/>
              </w:rPr>
              <m:t>T</m:t>
            </m:r>
          </m:e>
          <m:sub>
            <m:r>
              <w:rPr>
                <w:rFonts w:ascii="Cambria Math" w:hAnsi="Cambria Math" w:cs="Arial"/>
              </w:rPr>
              <m:t>c</m:t>
            </m:r>
          </m:sub>
        </m:sSub>
      </m:oMath>
      <w:r w:rsidR="00B812E3">
        <w:t xml:space="preserve"> há a ocorrência de uma singularidade e evidencia uma transição de </w:t>
      </w:r>
      <w:r w:rsidR="00B812E3">
        <w:lastRenderedPageBreak/>
        <w:t>fase magnética. Neste contexto, haverá dois tipos de correlações: ferromagnética</w:t>
      </w:r>
      <w:r w:rsidR="003E5440">
        <w:t xml:space="preserve"> para </w:t>
      </w:r>
      <m:oMath>
        <m:sSub>
          <m:sSubPr>
            <m:ctrlPr>
              <w:rPr>
                <w:rFonts w:ascii="Cambria Math" w:eastAsia="Calibri" w:hAnsi="Cambria Math"/>
                <w:i/>
                <w:kern w:val="0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3E5440">
        <w:t xml:space="preserve"> &gt; 0, e antiferromagnética para </w:t>
      </w:r>
      <m:oMath>
        <m:sSub>
          <m:sSubPr>
            <m:ctrlPr>
              <w:rPr>
                <w:rFonts w:ascii="Cambria Math" w:eastAsia="Calibri" w:hAnsi="Cambria Math"/>
                <w:i/>
                <w:kern w:val="0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3E5440">
        <w:t xml:space="preserve"> &lt; 0.</w:t>
      </w:r>
    </w:p>
    <w:p w:rsidR="001A10FF" w:rsidRPr="004D3431" w:rsidRDefault="003E5440" w:rsidP="00C96F69">
      <w:pPr>
        <w:ind w:firstLine="0"/>
      </w:pPr>
      <w:r>
        <w:tab/>
      </w:r>
    </w:p>
    <w:p w:rsidR="009D0723" w:rsidRDefault="001A10FF" w:rsidP="0029083B">
      <w:pPr>
        <w:pStyle w:val="Ttulodaseoprimria"/>
      </w:pPr>
      <w:proofErr w:type="gramStart"/>
      <w:r>
        <w:t>3</w:t>
      </w:r>
      <w:proofErr w:type="gramEnd"/>
      <w:r w:rsidR="0082219D" w:rsidRPr="00FA5B50">
        <w:t xml:space="preserve"> MATERIAIS E MÉTODOS</w:t>
      </w:r>
      <w:r w:rsidR="009F1118">
        <w:t xml:space="preserve"> </w:t>
      </w:r>
    </w:p>
    <w:p w:rsidR="00923FD5" w:rsidRDefault="00923FD5" w:rsidP="00395E01">
      <w:pPr>
        <w:ind w:firstLine="0"/>
      </w:pPr>
    </w:p>
    <w:p w:rsidR="007C4A3B" w:rsidRPr="00597485" w:rsidRDefault="00E475BF" w:rsidP="0029083B">
      <w:pPr>
        <w:rPr>
          <w:color w:val="FF0000"/>
        </w:rPr>
      </w:pPr>
      <w:r>
        <w:t xml:space="preserve">Neste trabalho, </w:t>
      </w:r>
      <w:r w:rsidR="00395E01">
        <w:t xml:space="preserve">as amostras de </w:t>
      </w:r>
      <w:r w:rsidR="00CB6300">
        <w:t xml:space="preserve"> </w:t>
      </w:r>
      <w:proofErr w:type="gramStart"/>
      <w:r w:rsidR="00395E01" w:rsidRPr="00DF5BB2">
        <w:t>FeSe</w:t>
      </w:r>
      <w:r w:rsidR="00395E01" w:rsidRPr="00DF5BB2">
        <w:rPr>
          <w:vertAlign w:val="subscript"/>
        </w:rPr>
        <w:t>0</w:t>
      </w:r>
      <w:proofErr w:type="gramEnd"/>
      <w:r w:rsidR="00395E01" w:rsidRPr="00DF5BB2">
        <w:rPr>
          <w:vertAlign w:val="subscript"/>
        </w:rPr>
        <w:t>.5</w:t>
      </w:r>
      <w:r w:rsidR="00395E01" w:rsidRPr="00DF5BB2">
        <w:t>Te</w:t>
      </w:r>
      <w:r w:rsidR="00395E01" w:rsidRPr="00DF5BB2">
        <w:rPr>
          <w:vertAlign w:val="subscript"/>
        </w:rPr>
        <w:t>0.5</w:t>
      </w:r>
      <w:r w:rsidR="00395E01">
        <w:rPr>
          <w:vertAlign w:val="subscript"/>
        </w:rPr>
        <w:t xml:space="preserve"> </w:t>
      </w:r>
      <w:r w:rsidR="00395E01">
        <w:t xml:space="preserve">foram confeccionadas através do método de </w:t>
      </w:r>
      <w:proofErr w:type="spellStart"/>
      <w:r w:rsidR="00395E01">
        <w:t>auto-fluxo</w:t>
      </w:r>
      <w:proofErr w:type="spellEnd"/>
      <w:r w:rsidR="00395E01">
        <w:t>, no qual ocorre uma reação entre os componentes em estado liquido produzido pela fusão parcial dos elementos constituintes do composto.</w:t>
      </w:r>
      <w:r w:rsidR="00A3238F">
        <w:t xml:space="preserve"> O</w:t>
      </w:r>
      <w:r w:rsidR="00395E01">
        <w:t xml:space="preserve">bedecendo </w:t>
      </w:r>
      <w:r w:rsidR="00E80B0A">
        <w:t>à</w:t>
      </w:r>
      <w:r w:rsidR="00395E01">
        <w:t xml:space="preserve"> estequiometria ambicionada, foram pesadas quantidades pertinentes de pó de Fe (99,9%), Te (99,9%) e Se (99,9%)</w:t>
      </w:r>
      <w:r w:rsidR="00E80B0A">
        <w:t xml:space="preserve">. Posteriormente a isso, os </w:t>
      </w:r>
      <w:r w:rsidR="00A3238F">
        <w:t>precursores</w:t>
      </w:r>
      <w:r w:rsidR="00E80B0A">
        <w:t xml:space="preserve"> passaram por um processo de maceramento em um almofariz de ágata e prensados na forma de </w:t>
      </w:r>
      <w:r w:rsidR="00D612F0">
        <w:t xml:space="preserve">quatro </w:t>
      </w:r>
      <w:r w:rsidR="00E80B0A">
        <w:t xml:space="preserve">pastilhas. </w:t>
      </w:r>
      <w:r w:rsidR="00E80B0A" w:rsidRPr="00A3238F">
        <w:t xml:space="preserve">As pastilhas foram </w:t>
      </w:r>
      <w:r w:rsidR="00E80B0A">
        <w:t xml:space="preserve">seladas </w:t>
      </w:r>
      <w:r w:rsidR="00D612F0">
        <w:t xml:space="preserve">individualmente </w:t>
      </w:r>
      <w:r w:rsidR="00E80B0A">
        <w:t>em ampolas de q</w:t>
      </w:r>
      <w:r w:rsidR="00D612F0">
        <w:t>uartzo com atmosfera de argônio, e submetidas a quatro tratamentos térmicos distintos.</w:t>
      </w:r>
      <w:r w:rsidR="00635329">
        <w:t xml:space="preserve"> </w:t>
      </w:r>
      <w:r w:rsidR="00A3238F">
        <w:t>As medidas de magnetização em função da temperatura</w:t>
      </w:r>
      <w:r w:rsidR="006A5586">
        <w:t>, utilizando os protocolos ZFC-FC,</w:t>
      </w:r>
      <w:r w:rsidR="00A3238F">
        <w:t xml:space="preserve"> foram realizadas em um </w:t>
      </w:r>
      <w:proofErr w:type="spellStart"/>
      <w:r w:rsidR="00A3238F">
        <w:t>magnetômetro</w:t>
      </w:r>
      <w:proofErr w:type="spellEnd"/>
      <w:r w:rsidR="00A3238F">
        <w:t xml:space="preserve"> de SQUID, instalado numa plataforma MPMS (</w:t>
      </w:r>
      <w:proofErr w:type="spellStart"/>
      <w:r w:rsidR="00A3238F" w:rsidRPr="00A3238F">
        <w:t>Magnetic</w:t>
      </w:r>
      <w:proofErr w:type="spellEnd"/>
      <w:r w:rsidR="00A3238F" w:rsidRPr="00A3238F">
        <w:t xml:space="preserve"> </w:t>
      </w:r>
      <w:proofErr w:type="spellStart"/>
      <w:r w:rsidR="00A3238F" w:rsidRPr="00A3238F">
        <w:t>Properties</w:t>
      </w:r>
      <w:proofErr w:type="spellEnd"/>
      <w:r w:rsidR="00A3238F" w:rsidRPr="00A3238F">
        <w:t xml:space="preserve"> </w:t>
      </w:r>
      <w:proofErr w:type="spellStart"/>
      <w:r w:rsidR="00A3238F" w:rsidRPr="00A3238F">
        <w:t>Measurement</w:t>
      </w:r>
      <w:proofErr w:type="spellEnd"/>
      <w:r w:rsidR="00A3238F" w:rsidRPr="00A3238F">
        <w:t xml:space="preserve"> </w:t>
      </w:r>
      <w:r w:rsidR="00A3238F">
        <w:t>System) da empresa Quantum Design.</w:t>
      </w:r>
      <w:r w:rsidR="00D612F0">
        <w:t xml:space="preserve"> Os procedimentos experimentais foram realizados em parceria </w:t>
      </w:r>
      <w:r w:rsidR="001B7D2E">
        <w:t>o Laboratório de Supercondutividade e Magnetismo do Instituto de Física da UFRGS e com o Laboratório de Magnetismo do Centro Brasileiro de Pesquisas Física.</w:t>
      </w:r>
    </w:p>
    <w:p w:rsidR="00597485" w:rsidRDefault="00597485" w:rsidP="00426BF6">
      <w:pPr>
        <w:ind w:firstLine="0"/>
      </w:pPr>
    </w:p>
    <w:p w:rsidR="009D0723" w:rsidRPr="00D8090F" w:rsidRDefault="001A10FF" w:rsidP="0029083B">
      <w:pPr>
        <w:pStyle w:val="Ttulodaseoprimria"/>
      </w:pPr>
      <w:proofErr w:type="gramStart"/>
      <w:r>
        <w:t>4</w:t>
      </w:r>
      <w:proofErr w:type="gramEnd"/>
      <w:r w:rsidR="0082219D"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9D0723" w:rsidRDefault="009D0723" w:rsidP="0029083B">
      <w:pPr>
        <w:rPr>
          <w:rFonts w:cs="Arial"/>
        </w:rPr>
      </w:pPr>
    </w:p>
    <w:p w:rsidR="001B7D2E" w:rsidRPr="00D612F0" w:rsidRDefault="00C0705D" w:rsidP="00C96F69">
      <w:pPr>
        <w:pStyle w:val="Leyendadefiguraotabla"/>
        <w:spacing w:before="0" w:after="0"/>
        <w:ind w:firstLine="0"/>
        <w:jc w:val="both"/>
        <w:rPr>
          <w:rFonts w:cs="Arial"/>
          <w:i w:val="0"/>
          <w:sz w:val="22"/>
          <w:szCs w:val="22"/>
          <w:lang w:val="pt-BR"/>
        </w:rPr>
      </w:pPr>
      <w:r>
        <w:rPr>
          <w:rFonts w:cs="Arial"/>
          <w:i w:val="0"/>
          <w:color w:val="FF0000"/>
          <w:sz w:val="22"/>
          <w:szCs w:val="22"/>
          <w:lang w:val="pt-BR"/>
        </w:rPr>
        <w:tab/>
      </w:r>
      <w:r w:rsidR="00D612F0" w:rsidRPr="006A5586">
        <w:rPr>
          <w:rFonts w:cs="Arial"/>
          <w:i w:val="0"/>
          <w:sz w:val="24"/>
          <w:szCs w:val="22"/>
          <w:lang w:val="pt-BR"/>
        </w:rPr>
        <w:t>Foram ob</w:t>
      </w:r>
      <w:r w:rsidR="001B7D2E" w:rsidRPr="006A5586">
        <w:rPr>
          <w:rFonts w:cs="Arial"/>
          <w:i w:val="0"/>
          <w:sz w:val="24"/>
          <w:szCs w:val="22"/>
          <w:lang w:val="pt-BR"/>
        </w:rPr>
        <w:t xml:space="preserve">tidas quatro amostras distintas quanto ao tratamento térmico utilizado. Medidas da magnetização em função da temperatura foram realizadas com campo magnético aplicado igual a </w:t>
      </w:r>
      <w:proofErr w:type="gramStart"/>
      <w:r w:rsidR="001B7D2E" w:rsidRPr="006A5586">
        <w:rPr>
          <w:rFonts w:cs="Arial"/>
          <w:i w:val="0"/>
          <w:sz w:val="24"/>
          <w:szCs w:val="22"/>
          <w:lang w:val="pt-BR"/>
        </w:rPr>
        <w:t>100 Oe</w:t>
      </w:r>
      <w:proofErr w:type="gramEnd"/>
      <w:r w:rsidR="001B7D2E" w:rsidRPr="006A5586">
        <w:rPr>
          <w:rFonts w:cs="Arial"/>
          <w:i w:val="0"/>
          <w:sz w:val="24"/>
          <w:szCs w:val="22"/>
          <w:lang w:val="pt-BR"/>
        </w:rPr>
        <w:t xml:space="preserve"> num intervalo de temperaturas entre 4 K e 300 K. Em apenas uma das amostras estudadas foi observada a transição supercondutora</w:t>
      </w:r>
      <w:r w:rsidR="006A5586" w:rsidRPr="006A5586">
        <w:rPr>
          <w:rFonts w:cs="Arial"/>
          <w:i w:val="0"/>
          <w:sz w:val="24"/>
          <w:szCs w:val="22"/>
          <w:lang w:val="pt-BR"/>
        </w:rPr>
        <w:t>,</w:t>
      </w:r>
      <w:r w:rsidR="001B7D2E" w:rsidRPr="006A5586">
        <w:rPr>
          <w:rFonts w:cs="Arial"/>
          <w:i w:val="0"/>
          <w:sz w:val="24"/>
          <w:szCs w:val="22"/>
          <w:lang w:val="pt-BR"/>
        </w:rPr>
        <w:t xml:space="preserve"> caracterizada por uma forte contribuição diamagnética</w:t>
      </w:r>
      <w:r w:rsidR="006A5586" w:rsidRPr="006A5586">
        <w:rPr>
          <w:rFonts w:cs="Arial"/>
          <w:i w:val="0"/>
          <w:sz w:val="24"/>
          <w:szCs w:val="22"/>
          <w:lang w:val="pt-BR"/>
        </w:rPr>
        <w:t xml:space="preserve">, próximo a </w:t>
      </w:r>
      <w:proofErr w:type="spellStart"/>
      <w:proofErr w:type="gramStart"/>
      <w:r w:rsidR="006A5586" w:rsidRPr="006A5586">
        <w:rPr>
          <w:rFonts w:cs="Arial"/>
          <w:i w:val="0"/>
          <w:sz w:val="24"/>
          <w:szCs w:val="22"/>
          <w:lang w:val="pt-BR"/>
        </w:rPr>
        <w:t>T</w:t>
      </w:r>
      <w:r w:rsidR="006A5586" w:rsidRPr="006A5586">
        <w:rPr>
          <w:rFonts w:cs="Arial"/>
          <w:i w:val="0"/>
          <w:sz w:val="24"/>
          <w:szCs w:val="22"/>
          <w:vertAlign w:val="subscript"/>
          <w:lang w:val="pt-BR"/>
        </w:rPr>
        <w:t>c</w:t>
      </w:r>
      <w:proofErr w:type="spellEnd"/>
      <w:r w:rsidR="006A5586" w:rsidRPr="006A5586">
        <w:rPr>
          <w:rFonts w:cs="Arial"/>
          <w:i w:val="0"/>
          <w:sz w:val="24"/>
          <w:szCs w:val="22"/>
          <w:lang w:val="pt-BR"/>
        </w:rPr>
        <w:t xml:space="preserve"> ~</w:t>
      </w:r>
      <w:proofErr w:type="gramEnd"/>
      <w:r w:rsidR="006A5586" w:rsidRPr="006A5586">
        <w:rPr>
          <w:rFonts w:cs="Arial"/>
          <w:i w:val="0"/>
          <w:sz w:val="24"/>
          <w:szCs w:val="22"/>
          <w:lang w:val="pt-BR"/>
        </w:rPr>
        <w:t>14 K</w:t>
      </w:r>
      <w:r w:rsidR="001B7D2E" w:rsidRPr="006A5586">
        <w:rPr>
          <w:rFonts w:cs="Arial"/>
          <w:i w:val="0"/>
          <w:sz w:val="24"/>
          <w:szCs w:val="22"/>
          <w:lang w:val="pt-BR"/>
        </w:rPr>
        <w:t xml:space="preserve">. </w:t>
      </w:r>
      <w:r w:rsidR="006A5586">
        <w:rPr>
          <w:rFonts w:cs="Arial"/>
          <w:i w:val="0"/>
          <w:sz w:val="24"/>
          <w:szCs w:val="22"/>
          <w:lang w:val="pt-BR"/>
        </w:rPr>
        <w:t>Nas demais</w:t>
      </w:r>
      <w:r w:rsidR="006A5586" w:rsidRPr="006A5586">
        <w:rPr>
          <w:rFonts w:cs="Arial"/>
          <w:i w:val="0"/>
          <w:sz w:val="24"/>
          <w:szCs w:val="22"/>
          <w:lang w:val="pt-BR"/>
        </w:rPr>
        <w:t xml:space="preserve"> amost</w:t>
      </w:r>
      <w:r w:rsidR="006A5586">
        <w:rPr>
          <w:rFonts w:cs="Arial"/>
          <w:i w:val="0"/>
          <w:sz w:val="24"/>
          <w:szCs w:val="22"/>
          <w:lang w:val="pt-BR"/>
        </w:rPr>
        <w:t>ras</w:t>
      </w:r>
      <w:r w:rsidR="006A5586" w:rsidRPr="006A5586">
        <w:rPr>
          <w:rFonts w:cs="Arial"/>
          <w:i w:val="0"/>
          <w:sz w:val="24"/>
          <w:szCs w:val="22"/>
          <w:lang w:val="pt-BR"/>
        </w:rPr>
        <w:t xml:space="preserve"> uma forte contribuição com característica ferromagnética domina a resposta em temperaturas mais elevadas. </w:t>
      </w:r>
      <w:r w:rsidR="006A5586">
        <w:rPr>
          <w:rFonts w:cs="Arial"/>
          <w:i w:val="0"/>
          <w:sz w:val="24"/>
          <w:szCs w:val="22"/>
          <w:lang w:val="pt-BR"/>
        </w:rPr>
        <w:t xml:space="preserve">Observa-se também fortes irreversibilidades entre as curvas ZFC-FC </w:t>
      </w:r>
      <w:r w:rsidR="006A5586" w:rsidRPr="006A5586">
        <w:rPr>
          <w:rFonts w:cs="Arial"/>
          <w:i w:val="0"/>
          <w:sz w:val="24"/>
          <w:szCs w:val="22"/>
          <w:lang w:val="pt-BR"/>
        </w:rPr>
        <w:t>Isso indica que o tratamento térmico utilizado na preparação das amostras é um fator determinante no estado magnético que se estabiliza.</w:t>
      </w:r>
      <w:r w:rsidR="00D4145B">
        <w:rPr>
          <w:rFonts w:cs="Arial"/>
          <w:i w:val="0"/>
          <w:sz w:val="24"/>
          <w:szCs w:val="22"/>
          <w:lang w:val="pt-BR"/>
        </w:rPr>
        <w:t xml:space="preserve"> A partir da magnetização, obteve-se a dependência com a temperatura da susceptibilidade magnética das amostras estudadas. Foi possível determinar que a temperatura de Curie </w:t>
      </w:r>
      <w:proofErr w:type="gramStart"/>
      <w:r w:rsidR="00D4145B">
        <w:rPr>
          <w:rFonts w:cs="Arial"/>
          <w:i w:val="0"/>
          <w:sz w:val="24"/>
          <w:szCs w:val="22"/>
          <w:lang w:val="pt-BR"/>
        </w:rPr>
        <w:t>está</w:t>
      </w:r>
      <w:proofErr w:type="gramEnd"/>
      <w:r w:rsidR="00D4145B">
        <w:rPr>
          <w:rFonts w:cs="Arial"/>
          <w:i w:val="0"/>
          <w:sz w:val="24"/>
          <w:szCs w:val="22"/>
          <w:lang w:val="pt-BR"/>
        </w:rPr>
        <w:t xml:space="preserve"> acima de 300 K, de forma que as amostras foram medidas dentro da fase ordenada.</w:t>
      </w:r>
    </w:p>
    <w:p w:rsidR="0082219D" w:rsidRDefault="0082219D" w:rsidP="0029083B">
      <w:pPr>
        <w:pStyle w:val="Ttulodaseoprimria"/>
      </w:pPr>
    </w:p>
    <w:p w:rsidR="009D0723" w:rsidRDefault="001A10FF" w:rsidP="0029083B">
      <w:pPr>
        <w:pStyle w:val="Ttulodaseoprimria"/>
        <w:rPr>
          <w:sz w:val="24"/>
        </w:rPr>
      </w:pPr>
      <w:proofErr w:type="gramStart"/>
      <w:r>
        <w:rPr>
          <w:sz w:val="24"/>
        </w:rPr>
        <w:t>5</w:t>
      </w:r>
      <w:proofErr w:type="gramEnd"/>
      <w:r w:rsidR="0082219D" w:rsidRPr="0082219D">
        <w:rPr>
          <w:sz w:val="24"/>
        </w:rPr>
        <w:t xml:space="preserve"> CONSIDERAÇÕES FINAIS</w:t>
      </w:r>
    </w:p>
    <w:p w:rsidR="00D4145B" w:rsidRDefault="00D4145B" w:rsidP="001B7D2E"/>
    <w:p w:rsidR="009D0723" w:rsidRDefault="00D4145B" w:rsidP="0029083B">
      <w:r>
        <w:t xml:space="preserve">Um estudo completo das amostras obtidas nesse trabalho pode ser realizado através da medida da magnetização em função da temperatura </w:t>
      </w:r>
      <w:r w:rsidR="00C96F69">
        <w:t xml:space="preserve">em temperaturas acima de 300 K, para </w:t>
      </w:r>
      <w:r>
        <w:t>determinar a temperatura de Curie dos sistemas estudados. No que diz respeito às propriedades estruturais, e a sua dependência com o tratamento térmico utilizado, a realização de difração de raios-x mostra-se uma ferramenta fundamental. Com isso, a rota de síntese das amostras seria aperfeiçoada.</w:t>
      </w:r>
      <w:r w:rsidR="00C96F69">
        <w:t xml:space="preserve"> Além disso,</w:t>
      </w:r>
      <w:r w:rsidR="003F3306">
        <w:t xml:space="preserve"> e</w:t>
      </w:r>
      <w:r w:rsidR="001B7D2E">
        <w:t>m sistemas metálicos</w:t>
      </w:r>
      <w:r w:rsidR="003F3306">
        <w:t>,</w:t>
      </w:r>
      <w:r w:rsidR="001B7D2E">
        <w:t xml:space="preserve"> onde a interaç</w:t>
      </w:r>
      <w:r>
        <w:t>ão elétron-elétr</w:t>
      </w:r>
      <w:r w:rsidR="001B7D2E">
        <w:t xml:space="preserve">on é relevante, </w:t>
      </w:r>
      <w:proofErr w:type="gramStart"/>
      <w:r w:rsidR="001B7D2E">
        <w:t>deve-se</w:t>
      </w:r>
      <w:proofErr w:type="gramEnd"/>
      <w:r w:rsidR="001B7D2E">
        <w:t xml:space="preserve"> considerar as ondas de densidade de spin (SDW</w:t>
      </w:r>
      <w:r w:rsidR="00C96F69">
        <w:t>),</w:t>
      </w:r>
      <w:r w:rsidR="001B7D2E">
        <w:t xml:space="preserve"> estados fundamentais do gás de elétrons e caracteriza-se por modulações da densidade de spin. O período das oscilações estáticas SDW se relaciona às propriedades da superfície de Fermi do metal, produzindo um estado antiferromagnético no sistema.</w:t>
      </w:r>
    </w:p>
    <w:sectPr w:rsidR="009D0723" w:rsidSect="00822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4BC" w:rsidRDefault="00EF24BC" w:rsidP="00B11590">
      <w:r>
        <w:separator/>
      </w:r>
    </w:p>
  </w:endnote>
  <w:endnote w:type="continuationSeparator" w:id="0">
    <w:p w:rsidR="00EF24BC" w:rsidRDefault="00EF24BC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MSY8">
    <w:altName w:val="Arial Unicode MS"/>
    <w:panose1 w:val="00000000000000000000"/>
    <w:charset w:val="86"/>
    <w:family w:val="auto"/>
    <w:notTrueType/>
    <w:pitch w:val="default"/>
    <w:sig w:usb0="00000003" w:usb1="080F0000" w:usb2="00000010" w:usb3="00000000" w:csb0="0006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B9" w:rsidRDefault="002B7E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B9" w:rsidRDefault="002B7EB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B9" w:rsidRDefault="002B7E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4BC" w:rsidRDefault="00EF24BC" w:rsidP="00B11590">
      <w:r>
        <w:separator/>
      </w:r>
    </w:p>
  </w:footnote>
  <w:footnote w:type="continuationSeparator" w:id="0">
    <w:p w:rsidR="00EF24BC" w:rsidRDefault="00EF24BC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B9" w:rsidRDefault="002B7EB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B9" w:rsidRPr="00E10B97" w:rsidRDefault="002B7EB9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2B7EB9" w:rsidRDefault="002B7EB9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2B7EB9" w:rsidRPr="00D141AD" w:rsidRDefault="002B7EB9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Pr="00F34C67">
      <w:rPr>
        <w:rStyle w:val="Forte"/>
        <w:b w:val="0"/>
        <w:sz w:val="18"/>
        <w:szCs w:val="20"/>
      </w:rPr>
      <w:t xml:space="preserve">Rio Grande/RS, Brasil, </w:t>
    </w:r>
    <w:r>
      <w:rPr>
        <w:rStyle w:val="Forte"/>
        <w:b w:val="0"/>
        <w:sz w:val="18"/>
        <w:szCs w:val="20"/>
      </w:rPr>
      <w:t>14</w:t>
    </w:r>
    <w:r w:rsidRPr="00F34C67">
      <w:rPr>
        <w:rStyle w:val="Forte"/>
        <w:b w:val="0"/>
        <w:sz w:val="18"/>
        <w:szCs w:val="20"/>
      </w:rPr>
      <w:t xml:space="preserve"> a </w:t>
    </w:r>
    <w:r>
      <w:rPr>
        <w:rStyle w:val="Forte"/>
        <w:b w:val="0"/>
        <w:sz w:val="18"/>
        <w:szCs w:val="20"/>
      </w:rPr>
      <w:t>17</w:t>
    </w:r>
    <w:r w:rsidRPr="00F34C67">
      <w:rPr>
        <w:rStyle w:val="Forte"/>
        <w:b w:val="0"/>
        <w:sz w:val="18"/>
        <w:szCs w:val="20"/>
      </w:rPr>
      <w:t xml:space="preserve"> de outubro de 201</w:t>
    </w:r>
    <w:r>
      <w:rPr>
        <w:rStyle w:val="Forte"/>
        <w:b w:val="0"/>
        <w:sz w:val="18"/>
        <w:szCs w:val="20"/>
      </w:rPr>
      <w:t>4</w:t>
    </w:r>
    <w:r w:rsidRPr="00F34C67">
      <w:rPr>
        <w:rStyle w:val="Forte"/>
        <w:b w:val="0"/>
        <w:sz w:val="18"/>
        <w:szCs w:val="20"/>
      </w:rPr>
      <w:t>.</w:t>
    </w:r>
  </w:p>
  <w:p w:rsidR="002B7EB9" w:rsidRDefault="002B7EB9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B9" w:rsidRDefault="002B7E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723"/>
    <w:rsid w:val="000033F3"/>
    <w:rsid w:val="00007995"/>
    <w:rsid w:val="000307E6"/>
    <w:rsid w:val="000A25A9"/>
    <w:rsid w:val="000D6628"/>
    <w:rsid w:val="000E4B93"/>
    <w:rsid w:val="000F630E"/>
    <w:rsid w:val="00105B2B"/>
    <w:rsid w:val="00111334"/>
    <w:rsid w:val="00120CAD"/>
    <w:rsid w:val="0012354B"/>
    <w:rsid w:val="00124510"/>
    <w:rsid w:val="00125006"/>
    <w:rsid w:val="00185FE1"/>
    <w:rsid w:val="001A1088"/>
    <w:rsid w:val="001A10FF"/>
    <w:rsid w:val="001A2AE8"/>
    <w:rsid w:val="001B7D2E"/>
    <w:rsid w:val="001C6E6F"/>
    <w:rsid w:val="001C7B8C"/>
    <w:rsid w:val="001C7EAD"/>
    <w:rsid w:val="001D35BD"/>
    <w:rsid w:val="001D7997"/>
    <w:rsid w:val="001E496B"/>
    <w:rsid w:val="001F043F"/>
    <w:rsid w:val="0020035A"/>
    <w:rsid w:val="00203D0A"/>
    <w:rsid w:val="0024774D"/>
    <w:rsid w:val="00286CEA"/>
    <w:rsid w:val="0029083B"/>
    <w:rsid w:val="002A4029"/>
    <w:rsid w:val="002A7A57"/>
    <w:rsid w:val="002B7EB9"/>
    <w:rsid w:val="003220E0"/>
    <w:rsid w:val="00337790"/>
    <w:rsid w:val="003551F1"/>
    <w:rsid w:val="00375C8C"/>
    <w:rsid w:val="003852EA"/>
    <w:rsid w:val="00395E01"/>
    <w:rsid w:val="003A225A"/>
    <w:rsid w:val="003B269A"/>
    <w:rsid w:val="003C0392"/>
    <w:rsid w:val="003D3BE6"/>
    <w:rsid w:val="003E5440"/>
    <w:rsid w:val="003F3306"/>
    <w:rsid w:val="004121BD"/>
    <w:rsid w:val="00417CCD"/>
    <w:rsid w:val="00426BF6"/>
    <w:rsid w:val="00436A58"/>
    <w:rsid w:val="00450C0F"/>
    <w:rsid w:val="00493589"/>
    <w:rsid w:val="004F7A69"/>
    <w:rsid w:val="0050019F"/>
    <w:rsid w:val="00503A14"/>
    <w:rsid w:val="00520FB9"/>
    <w:rsid w:val="00597485"/>
    <w:rsid w:val="006122BA"/>
    <w:rsid w:val="00635329"/>
    <w:rsid w:val="00647D58"/>
    <w:rsid w:val="00654EEA"/>
    <w:rsid w:val="006A03C7"/>
    <w:rsid w:val="006A08D3"/>
    <w:rsid w:val="006A4184"/>
    <w:rsid w:val="006A5586"/>
    <w:rsid w:val="006B6EE8"/>
    <w:rsid w:val="006E1000"/>
    <w:rsid w:val="006F1A5E"/>
    <w:rsid w:val="006F4750"/>
    <w:rsid w:val="0070021A"/>
    <w:rsid w:val="00702A05"/>
    <w:rsid w:val="00711AA3"/>
    <w:rsid w:val="00724A7E"/>
    <w:rsid w:val="00731B6A"/>
    <w:rsid w:val="007477A8"/>
    <w:rsid w:val="00766DBB"/>
    <w:rsid w:val="00787BE3"/>
    <w:rsid w:val="00791C16"/>
    <w:rsid w:val="007C1A97"/>
    <w:rsid w:val="007C26C2"/>
    <w:rsid w:val="007C2D07"/>
    <w:rsid w:val="007C4A3B"/>
    <w:rsid w:val="007D0FE5"/>
    <w:rsid w:val="0080482E"/>
    <w:rsid w:val="00810157"/>
    <w:rsid w:val="008120EF"/>
    <w:rsid w:val="0082219D"/>
    <w:rsid w:val="00861792"/>
    <w:rsid w:val="00884D4E"/>
    <w:rsid w:val="00891E56"/>
    <w:rsid w:val="008B6B49"/>
    <w:rsid w:val="008C7AF5"/>
    <w:rsid w:val="008D6396"/>
    <w:rsid w:val="00901E05"/>
    <w:rsid w:val="00910A51"/>
    <w:rsid w:val="00923FD5"/>
    <w:rsid w:val="00941544"/>
    <w:rsid w:val="009738E0"/>
    <w:rsid w:val="009B0959"/>
    <w:rsid w:val="009D0723"/>
    <w:rsid w:val="009E16F8"/>
    <w:rsid w:val="009F1118"/>
    <w:rsid w:val="009F4ED8"/>
    <w:rsid w:val="00A12F3C"/>
    <w:rsid w:val="00A1425C"/>
    <w:rsid w:val="00A3238F"/>
    <w:rsid w:val="00A55DB1"/>
    <w:rsid w:val="00A56E01"/>
    <w:rsid w:val="00A756D1"/>
    <w:rsid w:val="00A771C1"/>
    <w:rsid w:val="00A802B0"/>
    <w:rsid w:val="00A93793"/>
    <w:rsid w:val="00AC1ED7"/>
    <w:rsid w:val="00AC40C2"/>
    <w:rsid w:val="00AE71DE"/>
    <w:rsid w:val="00B0391C"/>
    <w:rsid w:val="00B11590"/>
    <w:rsid w:val="00B1689B"/>
    <w:rsid w:val="00B20EB6"/>
    <w:rsid w:val="00B23981"/>
    <w:rsid w:val="00B34567"/>
    <w:rsid w:val="00B356FD"/>
    <w:rsid w:val="00B43CC1"/>
    <w:rsid w:val="00B450CD"/>
    <w:rsid w:val="00B812E3"/>
    <w:rsid w:val="00BE7921"/>
    <w:rsid w:val="00C0705D"/>
    <w:rsid w:val="00C16DD6"/>
    <w:rsid w:val="00C341B4"/>
    <w:rsid w:val="00C47B84"/>
    <w:rsid w:val="00C86F0D"/>
    <w:rsid w:val="00C950B7"/>
    <w:rsid w:val="00C96F69"/>
    <w:rsid w:val="00CB6300"/>
    <w:rsid w:val="00CC3E16"/>
    <w:rsid w:val="00CD7458"/>
    <w:rsid w:val="00CF1B19"/>
    <w:rsid w:val="00D07C7D"/>
    <w:rsid w:val="00D141AD"/>
    <w:rsid w:val="00D25A87"/>
    <w:rsid w:val="00D4145B"/>
    <w:rsid w:val="00D43862"/>
    <w:rsid w:val="00D4777A"/>
    <w:rsid w:val="00D51701"/>
    <w:rsid w:val="00D55682"/>
    <w:rsid w:val="00D57A41"/>
    <w:rsid w:val="00D612F0"/>
    <w:rsid w:val="00D740C6"/>
    <w:rsid w:val="00D753F3"/>
    <w:rsid w:val="00D7706B"/>
    <w:rsid w:val="00D83535"/>
    <w:rsid w:val="00D91A20"/>
    <w:rsid w:val="00D926CA"/>
    <w:rsid w:val="00DA031B"/>
    <w:rsid w:val="00DA593A"/>
    <w:rsid w:val="00DB75BC"/>
    <w:rsid w:val="00DC6F90"/>
    <w:rsid w:val="00DD1B99"/>
    <w:rsid w:val="00DE4AB2"/>
    <w:rsid w:val="00DE6963"/>
    <w:rsid w:val="00DF5BB2"/>
    <w:rsid w:val="00E10B97"/>
    <w:rsid w:val="00E46A6D"/>
    <w:rsid w:val="00E475BF"/>
    <w:rsid w:val="00E56A57"/>
    <w:rsid w:val="00E80B0A"/>
    <w:rsid w:val="00EA51E0"/>
    <w:rsid w:val="00EB13F7"/>
    <w:rsid w:val="00EC6CEB"/>
    <w:rsid w:val="00EF24BC"/>
    <w:rsid w:val="00F262BF"/>
    <w:rsid w:val="00F32619"/>
    <w:rsid w:val="00F339F5"/>
    <w:rsid w:val="00F34C67"/>
    <w:rsid w:val="00F47F12"/>
    <w:rsid w:val="00F56270"/>
    <w:rsid w:val="00F65AE9"/>
    <w:rsid w:val="00F90421"/>
    <w:rsid w:val="00FB0428"/>
    <w:rsid w:val="00FB279D"/>
    <w:rsid w:val="00FB29E0"/>
    <w:rsid w:val="00FB3E05"/>
    <w:rsid w:val="00FD48B4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styleId="TextodoEspaoReservado">
    <w:name w:val="Placeholder Text"/>
    <w:uiPriority w:val="99"/>
    <w:semiHidden/>
    <w:rsid w:val="001F043F"/>
    <w:rPr>
      <w:color w:val="808080"/>
    </w:rPr>
  </w:style>
  <w:style w:type="character" w:customStyle="1" w:styleId="apple-converted-space">
    <w:name w:val="apple-converted-space"/>
    <w:rsid w:val="00884D4E"/>
  </w:style>
  <w:style w:type="character" w:customStyle="1" w:styleId="fn">
    <w:name w:val="fn"/>
    <w:rsid w:val="003D3BE6"/>
  </w:style>
  <w:style w:type="character" w:customStyle="1" w:styleId="Ttulo1">
    <w:name w:val="Título1"/>
    <w:rsid w:val="003D3BE6"/>
  </w:style>
  <w:style w:type="character" w:customStyle="1" w:styleId="source-title">
    <w:name w:val="source-title"/>
    <w:rsid w:val="003D3BE6"/>
  </w:style>
  <w:style w:type="character" w:customStyle="1" w:styleId="volume">
    <w:name w:val="volume"/>
    <w:rsid w:val="003D3BE6"/>
  </w:style>
  <w:style w:type="character" w:customStyle="1" w:styleId="start-page">
    <w:name w:val="start-page"/>
    <w:rsid w:val="003D3BE6"/>
  </w:style>
  <w:style w:type="character" w:customStyle="1" w:styleId="year">
    <w:name w:val="year"/>
    <w:rsid w:val="003D3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925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Caracterização magnética do supercondutor FeSe0</vt:lpstr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Caracterização magnética do supercondutor FeSe0</dc:title>
  <dc:creator>DGI</dc:creator>
  <cp:lastModifiedBy>Rafa Reimbrecht</cp:lastModifiedBy>
  <cp:revision>4</cp:revision>
  <cp:lastPrinted>2013-05-31T18:34:00Z</cp:lastPrinted>
  <dcterms:created xsi:type="dcterms:W3CDTF">2014-08-01T17:02:00Z</dcterms:created>
  <dcterms:modified xsi:type="dcterms:W3CDTF">2014-08-01T17:24:00Z</dcterms:modified>
</cp:coreProperties>
</file>