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EF" w:rsidRPr="006F76EF" w:rsidRDefault="006F76EF" w:rsidP="006F76EF">
      <w:pPr>
        <w:ind w:firstLine="0"/>
        <w:jc w:val="center"/>
        <w:rPr>
          <w:b/>
        </w:rPr>
      </w:pPr>
      <w:r w:rsidRPr="006F76EF">
        <w:rPr>
          <w:b/>
        </w:rPr>
        <w:t xml:space="preserve">INFLUÊNCIA DO SUBSTRATO </w:t>
      </w:r>
      <w:r w:rsidR="00534430">
        <w:rPr>
          <w:b/>
        </w:rPr>
        <w:t xml:space="preserve">E TECIMENTO </w:t>
      </w:r>
      <w:r w:rsidRPr="006F76EF">
        <w:rPr>
          <w:b/>
        </w:rPr>
        <w:t>NA MOLHABILIDADE DE DEPÓSITOS DE INCONEL UTILIZANDO O PROCESSO MIG/MAG</w:t>
      </w:r>
      <w:r>
        <w:rPr>
          <w:b/>
        </w:rPr>
        <w:t xml:space="preserve"> PARA REALIZAÇÃO DE REVESTIMENTOS</w:t>
      </w:r>
    </w:p>
    <w:p w:rsidR="0029083B" w:rsidRDefault="0029083B" w:rsidP="0029083B">
      <w:pPr>
        <w:ind w:firstLine="0"/>
        <w:jc w:val="right"/>
        <w:rPr>
          <w:b/>
        </w:rPr>
      </w:pPr>
    </w:p>
    <w:p w:rsidR="0029083B" w:rsidRDefault="0029083B" w:rsidP="0029083B">
      <w:pPr>
        <w:ind w:firstLine="0"/>
        <w:jc w:val="right"/>
        <w:rPr>
          <w:b/>
        </w:rPr>
      </w:pPr>
    </w:p>
    <w:p w:rsidR="00C47B84" w:rsidRDefault="00CC6302" w:rsidP="0029083B">
      <w:pPr>
        <w:ind w:firstLine="0"/>
        <w:jc w:val="right"/>
        <w:rPr>
          <w:b/>
        </w:rPr>
      </w:pPr>
      <w:r>
        <w:rPr>
          <w:b/>
        </w:rPr>
        <w:t>GUTIERREZ, Augusto; TAVARES</w:t>
      </w:r>
      <w:r w:rsidR="00376B05">
        <w:rPr>
          <w:b/>
        </w:rPr>
        <w:t>,</w:t>
      </w:r>
      <w:r>
        <w:rPr>
          <w:b/>
        </w:rPr>
        <w:t xml:space="preserve"> Amanda</w:t>
      </w:r>
      <w:r w:rsidR="00C47B84">
        <w:rPr>
          <w:b/>
        </w:rPr>
        <w:t xml:space="preserve"> (autor</w:t>
      </w:r>
      <w:r w:rsidR="00A771C1">
        <w:rPr>
          <w:b/>
        </w:rPr>
        <w:t>es</w:t>
      </w:r>
      <w:r w:rsidR="00C47B84">
        <w:rPr>
          <w:b/>
        </w:rPr>
        <w:t>)</w:t>
      </w:r>
    </w:p>
    <w:p w:rsidR="00C47B84" w:rsidRDefault="00CC6302" w:rsidP="0029083B">
      <w:pPr>
        <w:ind w:firstLine="0"/>
        <w:jc w:val="right"/>
        <w:rPr>
          <w:b/>
        </w:rPr>
      </w:pPr>
      <w:r>
        <w:rPr>
          <w:b/>
        </w:rPr>
        <w:t>SOUZA</w:t>
      </w:r>
      <w:r w:rsidR="00C47B84">
        <w:rPr>
          <w:b/>
        </w:rPr>
        <w:t xml:space="preserve">, </w:t>
      </w:r>
      <w:r>
        <w:rPr>
          <w:b/>
        </w:rPr>
        <w:t>Daniel</w:t>
      </w:r>
      <w:r w:rsidR="000033F3">
        <w:rPr>
          <w:b/>
        </w:rPr>
        <w:t xml:space="preserve"> </w:t>
      </w:r>
      <w:r w:rsidR="00C47B84">
        <w:rPr>
          <w:b/>
        </w:rPr>
        <w:t>(orientador</w:t>
      </w:r>
      <w:proofErr w:type="gramStart"/>
      <w:r w:rsidR="00C47B84">
        <w:rPr>
          <w:b/>
        </w:rPr>
        <w:t>)</w:t>
      </w:r>
      <w:proofErr w:type="gramEnd"/>
    </w:p>
    <w:p w:rsidR="00C47B84" w:rsidRDefault="0095356D" w:rsidP="00A771C1">
      <w:pPr>
        <w:ind w:firstLine="0"/>
        <w:jc w:val="right"/>
        <w:rPr>
          <w:b/>
        </w:rPr>
      </w:pPr>
      <w:r>
        <w:rPr>
          <w:b/>
        </w:rPr>
        <w:t>augustogutierres@hotmail.com.br</w:t>
      </w:r>
      <w:bookmarkStart w:id="0" w:name="_GoBack"/>
      <w:bookmarkEnd w:id="0"/>
    </w:p>
    <w:p w:rsidR="00A771C1" w:rsidRDefault="00A771C1" w:rsidP="00A771C1">
      <w:pPr>
        <w:ind w:firstLine="0"/>
        <w:jc w:val="right"/>
        <w:rPr>
          <w:b/>
        </w:rPr>
      </w:pPr>
    </w:p>
    <w:p w:rsidR="00520FB9" w:rsidRDefault="00520FB9" w:rsidP="00711AA3">
      <w:pPr>
        <w:ind w:firstLine="0"/>
        <w:jc w:val="right"/>
        <w:rPr>
          <w:b/>
        </w:rPr>
      </w:pPr>
      <w:r>
        <w:rPr>
          <w:b/>
        </w:rPr>
        <w:t xml:space="preserve">Evento: </w:t>
      </w:r>
      <w:r w:rsidR="00CC6302" w:rsidRPr="00CC6302">
        <w:rPr>
          <w:b/>
        </w:rPr>
        <w:t>Congresso de Iniciação Científica</w:t>
      </w:r>
    </w:p>
    <w:p w:rsidR="00C47B84" w:rsidRDefault="00711AA3" w:rsidP="00711AA3">
      <w:pPr>
        <w:ind w:firstLine="0"/>
        <w:jc w:val="right"/>
        <w:rPr>
          <w:b/>
        </w:rPr>
      </w:pPr>
      <w:r w:rsidRPr="00FB3E05">
        <w:rPr>
          <w:b/>
        </w:rPr>
        <w:t>Área</w:t>
      </w:r>
      <w:r w:rsidR="00520FB9" w:rsidRPr="00FB3E05">
        <w:rPr>
          <w:b/>
        </w:rPr>
        <w:t xml:space="preserve"> do conhecimento</w:t>
      </w:r>
      <w:r w:rsidR="00CC6302">
        <w:rPr>
          <w:b/>
        </w:rPr>
        <w:t>: Engenharias</w:t>
      </w:r>
    </w:p>
    <w:p w:rsidR="001A10FF" w:rsidRPr="00FB3E05" w:rsidRDefault="001A10FF" w:rsidP="00711AA3">
      <w:pPr>
        <w:ind w:firstLine="0"/>
        <w:jc w:val="right"/>
        <w:rPr>
          <w:b/>
        </w:rPr>
      </w:pPr>
    </w:p>
    <w:p w:rsidR="00C341B4" w:rsidRPr="009F1118" w:rsidRDefault="009F1118" w:rsidP="009F1118">
      <w:pPr>
        <w:ind w:firstLine="0"/>
        <w:rPr>
          <w:b/>
        </w:rPr>
      </w:pPr>
      <w:r w:rsidRPr="009F1118">
        <w:rPr>
          <w:b/>
        </w:rPr>
        <w:t>Palavras-chave</w:t>
      </w:r>
      <w:r w:rsidR="00A56E01">
        <w:rPr>
          <w:b/>
        </w:rPr>
        <w:t xml:space="preserve">: </w:t>
      </w:r>
      <w:r w:rsidR="00300CAC">
        <w:t>R</w:t>
      </w:r>
      <w:r w:rsidR="00CC6302">
        <w:t>evestimento por soldagem,</w:t>
      </w:r>
      <w:r w:rsidR="004A54EB">
        <w:t xml:space="preserve"> </w:t>
      </w:r>
      <w:proofErr w:type="spellStart"/>
      <w:r w:rsidR="004A54EB">
        <w:t>Inconel</w:t>
      </w:r>
      <w:proofErr w:type="spellEnd"/>
      <w:r w:rsidR="00300CAC">
        <w:t>, P</w:t>
      </w:r>
      <w:r w:rsidR="006751EA">
        <w:t>rocesso MIG/MAG</w:t>
      </w:r>
    </w:p>
    <w:p w:rsidR="003220E0" w:rsidRPr="00FB3E05" w:rsidRDefault="003220E0" w:rsidP="0029083B">
      <w:pPr>
        <w:pStyle w:val="Ttulodaseoprimria"/>
      </w:pPr>
    </w:p>
    <w:p w:rsidR="009D0723" w:rsidRPr="007345DE" w:rsidRDefault="0082219D" w:rsidP="0029083B">
      <w:pPr>
        <w:pStyle w:val="Ttulodaseoprimria"/>
      </w:pPr>
      <w:proofErr w:type="gramStart"/>
      <w:r w:rsidRPr="007345DE">
        <w:t>1</w:t>
      </w:r>
      <w:proofErr w:type="gramEnd"/>
      <w:r w:rsidRPr="007345DE">
        <w:t xml:space="preserve"> INTRODUÇÃO</w:t>
      </w:r>
    </w:p>
    <w:p w:rsidR="009D0723" w:rsidRPr="00B85630" w:rsidRDefault="009D0723" w:rsidP="0029083B">
      <w:pPr>
        <w:ind w:left="709" w:firstLine="0"/>
      </w:pPr>
    </w:p>
    <w:p w:rsidR="009D0723" w:rsidRDefault="00CC6302" w:rsidP="0029083B">
      <w:r w:rsidRPr="00CC6302">
        <w:t xml:space="preserve">A soldagem por revestimento é uma das formas utilizadas para aplicação de um material mais nobre sobre um substrato que não tem as propriedades desejadas. </w:t>
      </w:r>
      <w:r>
        <w:t xml:space="preserve">Dentre os processos de soldagem utilizados para deposição destes </w:t>
      </w:r>
      <w:r w:rsidR="00595D5E">
        <w:t>materiais</w:t>
      </w:r>
      <w:r>
        <w:t xml:space="preserve"> o mais comum é o processo TIG devido as suas </w:t>
      </w:r>
      <w:r w:rsidR="00595D5E">
        <w:t>características</w:t>
      </w:r>
      <w:r>
        <w:t xml:space="preserve"> de dissociação entre a taxa de deposição e o calor ap</w:t>
      </w:r>
      <w:r w:rsidR="00A73AB2">
        <w:t>ortado na peça a ser revestida, p</w:t>
      </w:r>
      <w:r>
        <w:t>orém, este processo tem como principal desvantagem a baixa produtividade</w:t>
      </w:r>
      <w:r w:rsidR="00A73AB2">
        <w:t xml:space="preserve">. Como alternativa pode-se utilizar o processo MIG/MAG, que tem alta produção, mas normalmente produz cordões com baixa </w:t>
      </w:r>
      <w:proofErr w:type="spellStart"/>
      <w:r w:rsidR="00A73AB2">
        <w:t>m</w:t>
      </w:r>
      <w:r w:rsidR="006751EA">
        <w:t>olhabilidade</w:t>
      </w:r>
      <w:proofErr w:type="spellEnd"/>
      <w:r w:rsidR="006751EA">
        <w:t>. O objeti</w:t>
      </w:r>
      <w:r w:rsidR="004A54EB">
        <w:t xml:space="preserve">vo do presente estudo é avaliar a influência </w:t>
      </w:r>
      <w:r w:rsidR="001826AD">
        <w:t xml:space="preserve">da técnica de </w:t>
      </w:r>
      <w:proofErr w:type="spellStart"/>
      <w:r w:rsidR="001826AD">
        <w:t>tecimento</w:t>
      </w:r>
      <w:proofErr w:type="spellEnd"/>
      <w:r w:rsidR="001826AD">
        <w:t xml:space="preserve"> e </w:t>
      </w:r>
      <w:r w:rsidR="004A54EB">
        <w:t xml:space="preserve">do substrato na </w:t>
      </w:r>
      <w:proofErr w:type="spellStart"/>
      <w:r w:rsidR="004A54EB">
        <w:t>molhabilidade</w:t>
      </w:r>
      <w:proofErr w:type="spellEnd"/>
      <w:r w:rsidR="004A54EB">
        <w:t xml:space="preserve"> dos cordões de solda usando um arame d</w:t>
      </w:r>
      <w:r w:rsidR="00534430">
        <w:t xml:space="preserve">e </w:t>
      </w:r>
      <w:proofErr w:type="spellStart"/>
      <w:r w:rsidR="00534430">
        <w:t>Inconel</w:t>
      </w:r>
      <w:proofErr w:type="spellEnd"/>
      <w:r w:rsidR="00534430">
        <w:t xml:space="preserve"> (superliga de níquel). </w:t>
      </w:r>
    </w:p>
    <w:p w:rsidR="00CC6302" w:rsidRDefault="00CC6302" w:rsidP="001A10FF">
      <w:pPr>
        <w:ind w:firstLine="0"/>
        <w:jc w:val="left"/>
        <w:rPr>
          <w:b/>
        </w:rPr>
      </w:pPr>
    </w:p>
    <w:p w:rsidR="009D0723" w:rsidRPr="00BE7921" w:rsidRDefault="001A10FF" w:rsidP="001A10FF">
      <w:pPr>
        <w:ind w:firstLine="0"/>
        <w:jc w:val="left"/>
        <w:rPr>
          <w:b/>
        </w:rPr>
      </w:pPr>
      <w:proofErr w:type="gramStart"/>
      <w:r w:rsidRPr="00BE7921">
        <w:rPr>
          <w:b/>
        </w:rPr>
        <w:t>2</w:t>
      </w:r>
      <w:proofErr w:type="gramEnd"/>
      <w:r w:rsidRPr="00BE7921">
        <w:rPr>
          <w:b/>
        </w:rPr>
        <w:t xml:space="preserve"> REFERENCIAL TEÓRICO</w:t>
      </w:r>
    </w:p>
    <w:p w:rsidR="001A10FF" w:rsidRPr="00BE7921" w:rsidRDefault="001A10FF" w:rsidP="001A10FF">
      <w:pPr>
        <w:ind w:firstLine="0"/>
        <w:jc w:val="left"/>
        <w:rPr>
          <w:b/>
        </w:rPr>
      </w:pPr>
    </w:p>
    <w:p w:rsidR="00534430" w:rsidRPr="00534430" w:rsidRDefault="00534430" w:rsidP="00534430">
      <w:pPr>
        <w:ind w:firstLine="708"/>
      </w:pPr>
      <w:r w:rsidRPr="00534430">
        <w:t xml:space="preserve">A utilização da soldagem de revestimento de ligas especiais à base de níquel sobre materiais de aço baixa-liga vem sendo bastante utilizada. Segundo </w:t>
      </w:r>
      <w:proofErr w:type="spellStart"/>
      <w:r w:rsidRPr="00534430">
        <w:t>Gittos</w:t>
      </w:r>
      <w:proofErr w:type="spellEnd"/>
      <w:r w:rsidRPr="00534430">
        <w:t xml:space="preserve"> e </w:t>
      </w:r>
      <w:proofErr w:type="spellStart"/>
      <w:r w:rsidRPr="00534430">
        <w:t>Gooch</w:t>
      </w:r>
      <w:proofErr w:type="spellEnd"/>
      <w:r w:rsidRPr="00534430">
        <w:t xml:space="preserve"> (1996) a aplicação de soldagem de revestimento de metais de adição de níquel sobre esses equipamentos tem aumentado significativamente as vidas úteis dos mesmos, que são projetados para uma vida de aproximadamente 20 anos.</w:t>
      </w:r>
      <w:r>
        <w:t xml:space="preserve"> </w:t>
      </w:r>
      <w:r w:rsidRPr="00534430">
        <w:t>Por esses motivos, a utilização de ligas na forma de revestimento é muito utilizada. Nessa condição é possível proporcionar ao equipamento a resistênc</w:t>
      </w:r>
      <w:r w:rsidR="007E38AF">
        <w:t>ia à corrosão desejada, aliada à</w:t>
      </w:r>
      <w:r w:rsidRPr="00534430">
        <w:t xml:space="preserve"> manutenção das demais características pré-existentes do substrato. Porém, a realização da soldagem para revestimento não é trivial. Existem problemas na diluição e geometria do cordão de solda </w:t>
      </w:r>
      <w:r w:rsidR="00AB23F9">
        <w:t>(</w:t>
      </w:r>
      <w:proofErr w:type="spellStart"/>
      <w:r w:rsidR="00AB23F9">
        <w:t>molhabilidade</w:t>
      </w:r>
      <w:proofErr w:type="spellEnd"/>
      <w:r w:rsidR="00AB23F9">
        <w:t xml:space="preserve">) </w:t>
      </w:r>
      <w:r w:rsidRPr="00534430">
        <w:t>que podem gerar defeitos durante a construção da camada de revestimento. Silva (2010) estudou revestimentos de ligas de níquel sobre um substrato de aço carbono e encontrou falta de fusão na ligação entre um cordão e outro em algu</w:t>
      </w:r>
      <w:r>
        <w:t>ns dos testes realizados</w:t>
      </w:r>
      <w:r w:rsidRPr="00534430">
        <w:t xml:space="preserve">. </w:t>
      </w:r>
      <w:r w:rsidR="00AB23F9">
        <w:t xml:space="preserve">A </w:t>
      </w:r>
      <w:proofErr w:type="spellStart"/>
      <w:r w:rsidR="00AB23F9">
        <w:t>molhabilidade</w:t>
      </w:r>
      <w:proofErr w:type="spellEnd"/>
      <w:r w:rsidR="00AB23F9">
        <w:t xml:space="preserve"> é medida através de um ângulo e indica a convexidade do cordão de solda. O </w:t>
      </w:r>
      <w:proofErr w:type="spellStart"/>
      <w:r w:rsidR="00AB23F9">
        <w:t>tecimento</w:t>
      </w:r>
      <w:proofErr w:type="spellEnd"/>
      <w:r w:rsidR="00AB23F9">
        <w:t xml:space="preserve"> é uma técnica de soldagem onde são realizados movimentos perpendiculares em relação </w:t>
      </w:r>
      <w:proofErr w:type="gramStart"/>
      <w:r w:rsidR="00AB23F9">
        <w:t>a</w:t>
      </w:r>
      <w:proofErr w:type="gramEnd"/>
      <w:r w:rsidR="00AB23F9">
        <w:t xml:space="preserve"> direção de soldagem. A altura do reforço é a distância entre a superfície da chapa e o topo do cordão de solda. A largura do cordão de solda é a dimensão entre as extremidades medida perpendicular à direção de soldagem.</w:t>
      </w:r>
    </w:p>
    <w:p w:rsidR="001A10FF" w:rsidRPr="004D3431" w:rsidRDefault="001A10FF" w:rsidP="001A10FF">
      <w:pPr>
        <w:ind w:firstLine="0"/>
        <w:jc w:val="left"/>
      </w:pPr>
    </w:p>
    <w:p w:rsidR="009D0723" w:rsidRDefault="001A10FF" w:rsidP="0029083B">
      <w:pPr>
        <w:pStyle w:val="Ttulodaseoprimria"/>
      </w:pPr>
      <w:proofErr w:type="gramStart"/>
      <w:r>
        <w:t>3</w:t>
      </w:r>
      <w:proofErr w:type="gramEnd"/>
      <w:r w:rsidR="0082219D" w:rsidRPr="00FA5B50">
        <w:t xml:space="preserve"> MATERIAIS E MÉTODOS</w:t>
      </w:r>
    </w:p>
    <w:p w:rsidR="00534430" w:rsidRDefault="00534430" w:rsidP="00534430">
      <w:r w:rsidRPr="00534430">
        <w:lastRenderedPageBreak/>
        <w:t>A metodologia utilizada foi de se manter aproximadamente o mesmo nível de corrente de soldagem e visualme</w:t>
      </w:r>
      <w:r w:rsidR="001826AD">
        <w:t xml:space="preserve">nte o mesmo comprimento de arco para </w:t>
      </w:r>
      <w:r w:rsidR="00641801">
        <w:t xml:space="preserve">que </w:t>
      </w:r>
      <w:r w:rsidR="001826AD">
        <w:t xml:space="preserve">estes parâmetros não influenciem na </w:t>
      </w:r>
      <w:proofErr w:type="spellStart"/>
      <w:r w:rsidR="001826AD">
        <w:t>molhabilidade</w:t>
      </w:r>
      <w:proofErr w:type="spellEnd"/>
      <w:r w:rsidR="001826AD">
        <w:t xml:space="preserve"> e diluição dos cordões.</w:t>
      </w:r>
      <w:r w:rsidRPr="00534430">
        <w:t xml:space="preserve"> Após a soldagem, foram realizadas medições nos cordões de solda</w:t>
      </w:r>
      <w:r w:rsidR="000406F3">
        <w:t>, utilizando um paquímetro,</w:t>
      </w:r>
      <w:r w:rsidRPr="00534430">
        <w:t xml:space="preserve"> a fim de obter-se a relação R/L (relação do reforço sobre a largura), que indiretamente indica a </w:t>
      </w:r>
      <w:proofErr w:type="spellStart"/>
      <w:r w:rsidRPr="00534430">
        <w:t>molhabilidade</w:t>
      </w:r>
      <w:proofErr w:type="spellEnd"/>
      <w:r w:rsidRPr="00534430">
        <w:t xml:space="preserve"> do cordão de solda. Foram utilizadas as técnicas de soldagem com e sem </w:t>
      </w:r>
      <w:proofErr w:type="spellStart"/>
      <w:r w:rsidRPr="00534430">
        <w:t>tecimento</w:t>
      </w:r>
      <w:proofErr w:type="spellEnd"/>
      <w:r w:rsidR="000406F3">
        <w:t xml:space="preserve"> utilizando um robô de 6 graus de liberdade</w:t>
      </w:r>
      <w:r w:rsidRPr="00534430">
        <w:t xml:space="preserve">. O </w:t>
      </w:r>
      <w:proofErr w:type="spellStart"/>
      <w:r w:rsidRPr="00534430">
        <w:t>tecimento</w:t>
      </w:r>
      <w:proofErr w:type="spellEnd"/>
      <w:r w:rsidRPr="00534430">
        <w:t xml:space="preserve"> realizado foi do tipo </w:t>
      </w:r>
      <w:proofErr w:type="spellStart"/>
      <w:r w:rsidRPr="00534430">
        <w:t>zig</w:t>
      </w:r>
      <w:r w:rsidR="000406F3">
        <w:t>-zag</w:t>
      </w:r>
      <w:proofErr w:type="spellEnd"/>
      <w:r w:rsidR="000406F3">
        <w:t xml:space="preserve"> </w:t>
      </w:r>
      <w:r w:rsidRPr="00534430">
        <w:t xml:space="preserve">com amplitude de </w:t>
      </w:r>
      <w:proofErr w:type="gramStart"/>
      <w:r w:rsidRPr="00534430">
        <w:t>6</w:t>
      </w:r>
      <w:proofErr w:type="gramEnd"/>
      <w:r w:rsidRPr="00534430">
        <w:t xml:space="preserve"> mm e freqüência de 3 Hz.</w:t>
      </w:r>
    </w:p>
    <w:p w:rsidR="003220E0" w:rsidRDefault="003220E0" w:rsidP="0029083B"/>
    <w:p w:rsidR="009D0723" w:rsidRPr="00D8090F" w:rsidRDefault="001A10FF" w:rsidP="0029083B">
      <w:pPr>
        <w:pStyle w:val="Ttulodaseoprimria"/>
      </w:pPr>
      <w:proofErr w:type="gramStart"/>
      <w:r>
        <w:t>4</w:t>
      </w:r>
      <w:proofErr w:type="gramEnd"/>
      <w:r w:rsidR="0082219D" w:rsidRPr="00D8090F">
        <w:t xml:space="preserve"> </w:t>
      </w:r>
      <w:r w:rsidR="0029083B">
        <w:t xml:space="preserve">RESULTADOS </w:t>
      </w:r>
      <w:r w:rsidR="00641801">
        <w:t>E</w:t>
      </w:r>
      <w:r w:rsidR="0029083B">
        <w:t xml:space="preserve"> DISCUSSÃO </w:t>
      </w:r>
    </w:p>
    <w:p w:rsidR="009D0723" w:rsidRDefault="009D0723" w:rsidP="004D5BD1">
      <w:pPr>
        <w:ind w:firstLine="0"/>
        <w:rPr>
          <w:rFonts w:cs="Arial"/>
        </w:rPr>
      </w:pPr>
    </w:p>
    <w:p w:rsidR="004D5BD1" w:rsidRDefault="004D5BD1" w:rsidP="004D5BD1">
      <w:pPr>
        <w:ind w:firstLine="0"/>
        <w:rPr>
          <w:rFonts w:cs="Arial"/>
        </w:rPr>
      </w:pPr>
      <w:r>
        <w:rPr>
          <w:rFonts w:cs="Arial"/>
        </w:rPr>
        <w:tab/>
        <w:t xml:space="preserve">Pela Figura 1 e Tabela 1 pode-se notar que a aplicação da técnica de </w:t>
      </w:r>
      <w:proofErr w:type="spellStart"/>
      <w:r>
        <w:rPr>
          <w:rFonts w:cs="Arial"/>
        </w:rPr>
        <w:t>tecimento</w:t>
      </w:r>
      <w:proofErr w:type="spellEnd"/>
      <w:r>
        <w:rPr>
          <w:rFonts w:cs="Arial"/>
        </w:rPr>
        <w:t xml:space="preserve"> aumentou significativamente a </w:t>
      </w:r>
      <w:proofErr w:type="spellStart"/>
      <w:r>
        <w:rPr>
          <w:rFonts w:cs="Arial"/>
        </w:rPr>
        <w:t>molhabilidade</w:t>
      </w:r>
      <w:proofErr w:type="spellEnd"/>
      <w:r>
        <w:rPr>
          <w:rFonts w:cs="Arial"/>
        </w:rPr>
        <w:t xml:space="preserve"> do cordão. Além disso, observa-se que o cordão realizado sobre o aço inoxidável </w:t>
      </w:r>
      <w:proofErr w:type="gramStart"/>
      <w:r>
        <w:rPr>
          <w:rFonts w:cs="Arial"/>
        </w:rPr>
        <w:t>316 L</w:t>
      </w:r>
      <w:proofErr w:type="gramEnd"/>
      <w:r>
        <w:rPr>
          <w:rFonts w:cs="Arial"/>
        </w:rPr>
        <w:t xml:space="preserve"> apresentou maior </w:t>
      </w:r>
      <w:proofErr w:type="spellStart"/>
      <w:r>
        <w:rPr>
          <w:rFonts w:cs="Arial"/>
        </w:rPr>
        <w:t>molhabilidade</w:t>
      </w:r>
      <w:proofErr w:type="spellEnd"/>
      <w:r>
        <w:rPr>
          <w:rFonts w:cs="Arial"/>
        </w:rPr>
        <w:t xml:space="preserve">. </w:t>
      </w:r>
    </w:p>
    <w:p w:rsidR="004D5BD1" w:rsidRDefault="004D5BD1" w:rsidP="004D5BD1">
      <w:pPr>
        <w:ind w:firstLine="0"/>
        <w:rPr>
          <w:rFonts w:cs="Arial"/>
        </w:rPr>
      </w:pPr>
    </w:p>
    <w:tbl>
      <w:tblPr>
        <w:tblStyle w:val="Tabelacomgrade"/>
        <w:tblW w:w="0" w:type="auto"/>
        <w:jc w:val="center"/>
        <w:tblInd w:w="1144" w:type="dxa"/>
        <w:tblLook w:val="04A0" w:firstRow="1" w:lastRow="0" w:firstColumn="1" w:lastColumn="0" w:noHBand="0" w:noVBand="1"/>
      </w:tblPr>
      <w:tblGrid>
        <w:gridCol w:w="2731"/>
        <w:gridCol w:w="2771"/>
      </w:tblGrid>
      <w:tr w:rsidR="00DA6DA3" w:rsidTr="007E38AF">
        <w:trPr>
          <w:jc w:val="center"/>
        </w:trPr>
        <w:tc>
          <w:tcPr>
            <w:tcW w:w="0" w:type="auto"/>
          </w:tcPr>
          <w:p w:rsidR="007E46CB" w:rsidRDefault="007E46CB" w:rsidP="00DA6DA3">
            <w:pPr>
              <w:spacing w:after="0" w:line="240" w:lineRule="auto"/>
              <w:ind w:firstLine="0"/>
              <w:jc w:val="center"/>
              <w:rPr>
                <w:rFonts w:ascii="Times New Roman" w:hAnsi="Times New Roman" w:cs="Times New Roman"/>
              </w:rPr>
            </w:pPr>
            <w:r>
              <w:rPr>
                <w:rFonts w:ascii="Times New Roman" w:hAnsi="Times New Roman"/>
                <w:noProof/>
              </w:rPr>
              <w:drawing>
                <wp:inline distT="0" distB="0" distL="0" distR="0">
                  <wp:extent cx="942975" cy="554832"/>
                  <wp:effectExtent l="19050" t="0" r="9525" b="0"/>
                  <wp:docPr id="2" name="Imagem 1" descr="test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e35.jpg"/>
                          <pic:cNvPicPr/>
                        </pic:nvPicPr>
                        <pic:blipFill>
                          <a:blip r:embed="rId8" cstate="print"/>
                          <a:srcRect b="26872"/>
                          <a:stretch>
                            <a:fillRect/>
                          </a:stretch>
                        </pic:blipFill>
                        <pic:spPr>
                          <a:xfrm>
                            <a:off x="0" y="0"/>
                            <a:ext cx="949073" cy="558420"/>
                          </a:xfrm>
                          <a:prstGeom prst="rect">
                            <a:avLst/>
                          </a:prstGeom>
                        </pic:spPr>
                      </pic:pic>
                    </a:graphicData>
                  </a:graphic>
                </wp:inline>
              </w:drawing>
            </w:r>
          </w:p>
        </w:tc>
        <w:tc>
          <w:tcPr>
            <w:tcW w:w="0" w:type="auto"/>
          </w:tcPr>
          <w:p w:rsidR="007E46CB" w:rsidRDefault="007E46CB" w:rsidP="00DA6DA3">
            <w:pPr>
              <w:spacing w:after="0" w:line="240" w:lineRule="auto"/>
              <w:ind w:firstLine="0"/>
              <w:jc w:val="center"/>
              <w:rPr>
                <w:rFonts w:ascii="Times New Roman" w:hAnsi="Times New Roman" w:cs="Times New Roman"/>
              </w:rPr>
            </w:pPr>
            <w:r>
              <w:rPr>
                <w:rFonts w:ascii="Times New Roman" w:hAnsi="Times New Roman"/>
                <w:noProof/>
              </w:rPr>
              <w:drawing>
                <wp:inline distT="0" distB="0" distL="0" distR="0">
                  <wp:extent cx="1104900" cy="513002"/>
                  <wp:effectExtent l="19050" t="0" r="0" b="0"/>
                  <wp:docPr id="13" name="Imagem 12" descr="Teste 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e 62.jpg"/>
                          <pic:cNvPicPr/>
                        </pic:nvPicPr>
                        <pic:blipFill>
                          <a:blip r:embed="rId9" cstate="print"/>
                          <a:srcRect b="31350"/>
                          <a:stretch>
                            <a:fillRect/>
                          </a:stretch>
                        </pic:blipFill>
                        <pic:spPr>
                          <a:xfrm>
                            <a:off x="0" y="0"/>
                            <a:ext cx="1106160" cy="513587"/>
                          </a:xfrm>
                          <a:prstGeom prst="rect">
                            <a:avLst/>
                          </a:prstGeom>
                        </pic:spPr>
                      </pic:pic>
                    </a:graphicData>
                  </a:graphic>
                </wp:inline>
              </w:drawing>
            </w:r>
          </w:p>
        </w:tc>
      </w:tr>
      <w:tr w:rsidR="00DA6DA3" w:rsidTr="007E38AF">
        <w:trPr>
          <w:jc w:val="center"/>
        </w:trPr>
        <w:tc>
          <w:tcPr>
            <w:tcW w:w="0" w:type="auto"/>
          </w:tcPr>
          <w:p w:rsidR="007E46CB" w:rsidRDefault="007E46CB" w:rsidP="00DA6DA3">
            <w:pPr>
              <w:spacing w:after="0" w:line="240" w:lineRule="auto"/>
              <w:ind w:firstLine="0"/>
              <w:jc w:val="center"/>
              <w:rPr>
                <w:rFonts w:ascii="Times New Roman" w:hAnsi="Times New Roman" w:cs="Times New Roman"/>
              </w:rPr>
            </w:pPr>
            <w:r>
              <w:rPr>
                <w:rFonts w:ascii="Times New Roman" w:hAnsi="Times New Roman" w:cs="Times New Roman"/>
              </w:rPr>
              <w:t>Sem Tecimento (Teste 35)</w:t>
            </w:r>
          </w:p>
        </w:tc>
        <w:tc>
          <w:tcPr>
            <w:tcW w:w="0" w:type="auto"/>
          </w:tcPr>
          <w:p w:rsidR="007E46CB" w:rsidRDefault="007E46CB" w:rsidP="00DA6DA3">
            <w:pPr>
              <w:spacing w:after="0" w:line="240" w:lineRule="auto"/>
              <w:ind w:firstLine="0"/>
              <w:jc w:val="center"/>
              <w:rPr>
                <w:rFonts w:ascii="Times New Roman" w:hAnsi="Times New Roman" w:cs="Times New Roman"/>
              </w:rPr>
            </w:pPr>
            <w:r>
              <w:rPr>
                <w:rFonts w:ascii="Times New Roman" w:hAnsi="Times New Roman" w:cs="Times New Roman"/>
              </w:rPr>
              <w:t>Com Tecimento (Teste 62)</w:t>
            </w:r>
          </w:p>
        </w:tc>
      </w:tr>
      <w:tr w:rsidR="007E46CB" w:rsidTr="007E38AF">
        <w:trPr>
          <w:jc w:val="center"/>
        </w:trPr>
        <w:tc>
          <w:tcPr>
            <w:tcW w:w="0" w:type="auto"/>
            <w:gridSpan w:val="2"/>
          </w:tcPr>
          <w:p w:rsidR="007E46CB" w:rsidRPr="007E46CB" w:rsidRDefault="00DA6DA3" w:rsidP="00864F5C">
            <w:pPr>
              <w:spacing w:after="0" w:line="240" w:lineRule="auto"/>
              <w:jc w:val="center"/>
              <w:rPr>
                <w:rFonts w:ascii="Times New Roman" w:hAnsi="Times New Roman" w:cs="Times New Roman"/>
              </w:rPr>
            </w:pPr>
            <w:r>
              <w:rPr>
                <w:rFonts w:ascii="Times New Roman" w:hAnsi="Times New Roman" w:cs="Times New Roman"/>
                <w:bCs/>
                <w:noProof/>
              </w:rPr>
              <w:t>Aço ao Carbono</w:t>
            </w:r>
            <w:r w:rsidRPr="00647D64">
              <w:rPr>
                <w:rFonts w:ascii="Times New Roman" w:hAnsi="Times New Roman" w:cs="Times New Roman"/>
                <w:bCs/>
              </w:rPr>
              <w:t xml:space="preserve"> </w:t>
            </w:r>
            <w:r>
              <w:rPr>
                <w:rFonts w:ascii="Times New Roman" w:hAnsi="Times New Roman" w:cs="Times New Roman"/>
                <w:bCs/>
              </w:rPr>
              <w:t xml:space="preserve">- </w:t>
            </w:r>
            <w:proofErr w:type="gramStart"/>
            <w:r w:rsidR="007E46CB" w:rsidRPr="00647D64">
              <w:rPr>
                <w:rFonts w:ascii="Times New Roman" w:hAnsi="Times New Roman" w:cs="Times New Roman"/>
                <w:bCs/>
              </w:rPr>
              <w:t>NiCrMo</w:t>
            </w:r>
            <w:proofErr w:type="gramEnd"/>
            <w:r w:rsidR="007E46CB" w:rsidRPr="00647D64">
              <w:rPr>
                <w:rFonts w:ascii="Times New Roman" w:hAnsi="Times New Roman" w:cs="Times New Roman"/>
                <w:bCs/>
              </w:rPr>
              <w:t xml:space="preserve">-3 </w:t>
            </w:r>
            <w:r w:rsidR="007E46CB">
              <w:rPr>
                <w:rFonts w:ascii="Times New Roman" w:hAnsi="Times New Roman" w:cs="Times New Roman"/>
                <w:bCs/>
              </w:rPr>
              <w:t xml:space="preserve">- </w:t>
            </w:r>
            <w:r w:rsidR="007E46CB" w:rsidRPr="00647D64">
              <w:rPr>
                <w:rFonts w:ascii="Times New Roman" w:hAnsi="Times New Roman" w:cs="Times New Roman"/>
                <w:bCs/>
              </w:rPr>
              <w:t>25%CO</w:t>
            </w:r>
            <w:r w:rsidR="007E46CB">
              <w:rPr>
                <w:rFonts w:cs="Times New Roman"/>
                <w:bCs/>
                <w:vertAlign w:val="subscript"/>
              </w:rPr>
              <w:t>2</w:t>
            </w:r>
          </w:p>
        </w:tc>
      </w:tr>
      <w:tr w:rsidR="00DA6DA3" w:rsidTr="007E38AF">
        <w:trPr>
          <w:jc w:val="center"/>
        </w:trPr>
        <w:tc>
          <w:tcPr>
            <w:tcW w:w="0" w:type="auto"/>
          </w:tcPr>
          <w:p w:rsidR="00DA6DA3" w:rsidRDefault="00DA6DA3" w:rsidP="00DA6DA3">
            <w:pPr>
              <w:spacing w:after="0" w:line="240" w:lineRule="auto"/>
              <w:ind w:firstLine="0"/>
              <w:jc w:val="center"/>
              <w:rPr>
                <w:rFonts w:ascii="Times New Roman" w:hAnsi="Times New Roman" w:cs="Times New Roman"/>
              </w:rPr>
            </w:pPr>
            <w:r>
              <w:rPr>
                <w:rFonts w:ascii="Times New Roman" w:hAnsi="Times New Roman"/>
                <w:noProof/>
              </w:rPr>
              <w:drawing>
                <wp:inline distT="0" distB="0" distL="0" distR="0">
                  <wp:extent cx="994082" cy="600075"/>
                  <wp:effectExtent l="19050" t="0" r="0" b="0"/>
                  <wp:docPr id="3" name="Imagem 19" descr="test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e32.jpg"/>
                          <pic:cNvPicPr/>
                        </pic:nvPicPr>
                        <pic:blipFill>
                          <a:blip r:embed="rId10" cstate="print"/>
                          <a:srcRect b="24861"/>
                          <a:stretch>
                            <a:fillRect/>
                          </a:stretch>
                        </pic:blipFill>
                        <pic:spPr>
                          <a:xfrm>
                            <a:off x="0" y="0"/>
                            <a:ext cx="998255" cy="602594"/>
                          </a:xfrm>
                          <a:prstGeom prst="rect">
                            <a:avLst/>
                          </a:prstGeom>
                        </pic:spPr>
                      </pic:pic>
                    </a:graphicData>
                  </a:graphic>
                </wp:inline>
              </w:drawing>
            </w:r>
          </w:p>
        </w:tc>
        <w:tc>
          <w:tcPr>
            <w:tcW w:w="0" w:type="auto"/>
          </w:tcPr>
          <w:p w:rsidR="00DA6DA3" w:rsidRDefault="00DA6DA3" w:rsidP="00DA6DA3">
            <w:pPr>
              <w:spacing w:after="0" w:line="240" w:lineRule="auto"/>
              <w:ind w:firstLine="0"/>
              <w:jc w:val="center"/>
              <w:rPr>
                <w:rFonts w:ascii="Times New Roman" w:hAnsi="Times New Roman" w:cs="Times New Roman"/>
              </w:rPr>
            </w:pPr>
            <w:r>
              <w:rPr>
                <w:rFonts w:ascii="Times New Roman" w:hAnsi="Times New Roman"/>
                <w:noProof/>
              </w:rPr>
              <w:drawing>
                <wp:inline distT="0" distB="0" distL="0" distR="0">
                  <wp:extent cx="1266825" cy="604002"/>
                  <wp:effectExtent l="19050" t="0" r="9525" b="0"/>
                  <wp:docPr id="4" name="Imagem 20" descr="teste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e61.jpg"/>
                          <pic:cNvPicPr/>
                        </pic:nvPicPr>
                        <pic:blipFill>
                          <a:blip r:embed="rId11" cstate="print"/>
                          <a:srcRect b="28671"/>
                          <a:stretch>
                            <a:fillRect/>
                          </a:stretch>
                        </pic:blipFill>
                        <pic:spPr>
                          <a:xfrm>
                            <a:off x="0" y="0"/>
                            <a:ext cx="1266825" cy="604002"/>
                          </a:xfrm>
                          <a:prstGeom prst="rect">
                            <a:avLst/>
                          </a:prstGeom>
                        </pic:spPr>
                      </pic:pic>
                    </a:graphicData>
                  </a:graphic>
                </wp:inline>
              </w:drawing>
            </w:r>
          </w:p>
        </w:tc>
      </w:tr>
      <w:tr w:rsidR="00DA6DA3" w:rsidTr="007E38AF">
        <w:trPr>
          <w:jc w:val="center"/>
        </w:trPr>
        <w:tc>
          <w:tcPr>
            <w:tcW w:w="0" w:type="auto"/>
          </w:tcPr>
          <w:p w:rsidR="00DA6DA3" w:rsidRDefault="00DA6DA3" w:rsidP="00DA6DA3">
            <w:pPr>
              <w:spacing w:after="0" w:line="240" w:lineRule="auto"/>
              <w:ind w:firstLine="0"/>
              <w:jc w:val="center"/>
              <w:rPr>
                <w:rFonts w:ascii="Times New Roman" w:hAnsi="Times New Roman" w:cs="Times New Roman"/>
              </w:rPr>
            </w:pPr>
            <w:r>
              <w:rPr>
                <w:rFonts w:ascii="Times New Roman" w:hAnsi="Times New Roman" w:cs="Times New Roman"/>
              </w:rPr>
              <w:t>Sem Tecimento (Teste 32)</w:t>
            </w:r>
          </w:p>
        </w:tc>
        <w:tc>
          <w:tcPr>
            <w:tcW w:w="0" w:type="auto"/>
          </w:tcPr>
          <w:p w:rsidR="00DA6DA3" w:rsidRDefault="00DA6DA3" w:rsidP="00DA6DA3">
            <w:pPr>
              <w:spacing w:after="0" w:line="240" w:lineRule="auto"/>
              <w:ind w:firstLine="0"/>
              <w:jc w:val="center"/>
              <w:rPr>
                <w:rFonts w:ascii="Times New Roman" w:hAnsi="Times New Roman" w:cs="Times New Roman"/>
              </w:rPr>
            </w:pPr>
            <w:r>
              <w:rPr>
                <w:rFonts w:ascii="Times New Roman" w:hAnsi="Times New Roman" w:cs="Times New Roman"/>
              </w:rPr>
              <w:t>Com Tecimento (Teste 62)</w:t>
            </w:r>
          </w:p>
        </w:tc>
      </w:tr>
      <w:tr w:rsidR="00DA6DA3" w:rsidTr="007E38AF">
        <w:trPr>
          <w:jc w:val="center"/>
        </w:trPr>
        <w:tc>
          <w:tcPr>
            <w:tcW w:w="0" w:type="auto"/>
            <w:gridSpan w:val="2"/>
          </w:tcPr>
          <w:p w:rsidR="00DA6DA3" w:rsidRPr="00DA6DA3" w:rsidRDefault="00DA6DA3" w:rsidP="00864F5C">
            <w:pPr>
              <w:spacing w:after="0" w:line="240" w:lineRule="auto"/>
              <w:jc w:val="center"/>
              <w:rPr>
                <w:rFonts w:ascii="Times New Roman" w:hAnsi="Times New Roman" w:cs="Times New Roman"/>
                <w:vertAlign w:val="subscript"/>
              </w:rPr>
            </w:pPr>
            <w:r>
              <w:rPr>
                <w:rFonts w:ascii="Times New Roman" w:hAnsi="Times New Roman" w:cs="Times New Roman"/>
              </w:rPr>
              <w:t>Aço Inoxidável 316L</w:t>
            </w:r>
            <w:r w:rsidRPr="00647D64">
              <w:rPr>
                <w:rFonts w:ascii="Times New Roman" w:hAnsi="Times New Roman" w:cs="Times New Roman"/>
                <w:bCs/>
              </w:rPr>
              <w:t xml:space="preserve"> </w:t>
            </w:r>
            <w:r>
              <w:rPr>
                <w:rFonts w:ascii="Times New Roman" w:hAnsi="Times New Roman" w:cs="Times New Roman"/>
                <w:bCs/>
              </w:rPr>
              <w:t xml:space="preserve">- </w:t>
            </w:r>
            <w:proofErr w:type="gramStart"/>
            <w:r w:rsidRPr="00647D64">
              <w:rPr>
                <w:rFonts w:ascii="Times New Roman" w:hAnsi="Times New Roman" w:cs="Times New Roman"/>
                <w:bCs/>
              </w:rPr>
              <w:t>NiCrMo</w:t>
            </w:r>
            <w:proofErr w:type="gramEnd"/>
            <w:r w:rsidRPr="00647D64">
              <w:rPr>
                <w:rFonts w:ascii="Times New Roman" w:hAnsi="Times New Roman" w:cs="Times New Roman"/>
                <w:bCs/>
              </w:rPr>
              <w:t xml:space="preserve">-3 </w:t>
            </w:r>
            <w:r>
              <w:rPr>
                <w:rFonts w:ascii="Times New Roman" w:hAnsi="Times New Roman" w:cs="Times New Roman"/>
                <w:bCs/>
              </w:rPr>
              <w:t xml:space="preserve">- </w:t>
            </w:r>
            <w:r w:rsidRPr="00647D64">
              <w:rPr>
                <w:rFonts w:ascii="Times New Roman" w:hAnsi="Times New Roman" w:cs="Times New Roman"/>
                <w:bCs/>
              </w:rPr>
              <w:t>25%CO</w:t>
            </w:r>
            <w:r>
              <w:rPr>
                <w:rFonts w:cs="Times New Roman"/>
                <w:bCs/>
                <w:vertAlign w:val="subscript"/>
              </w:rPr>
              <w:t>2</w:t>
            </w:r>
          </w:p>
        </w:tc>
      </w:tr>
    </w:tbl>
    <w:p w:rsidR="0082219D" w:rsidRPr="004D5BD1" w:rsidRDefault="004D5BD1" w:rsidP="004D5BD1">
      <w:pPr>
        <w:pStyle w:val="Leyendadefiguraotabla"/>
        <w:spacing w:before="0" w:after="0"/>
        <w:ind w:firstLine="0"/>
        <w:rPr>
          <w:rFonts w:cs="Arial"/>
          <w:i w:val="0"/>
          <w:sz w:val="24"/>
          <w:lang w:val="pt-BR"/>
        </w:rPr>
      </w:pPr>
      <w:r>
        <w:rPr>
          <w:rFonts w:cs="Arial"/>
          <w:i w:val="0"/>
          <w:sz w:val="24"/>
          <w:lang w:val="pt-BR"/>
        </w:rPr>
        <w:t>Figura 1 – Macrografias das seções transversais dos cordões</w:t>
      </w:r>
    </w:p>
    <w:p w:rsidR="004D5BD1" w:rsidRDefault="004D5BD1" w:rsidP="00BC6136">
      <w:pPr>
        <w:pStyle w:val="Leyendadefiguraotabla"/>
        <w:spacing w:before="0" w:after="0"/>
        <w:ind w:firstLine="0"/>
        <w:jc w:val="both"/>
      </w:pPr>
    </w:p>
    <w:p w:rsidR="000C6411" w:rsidRPr="004D5BD1" w:rsidRDefault="004D5BD1" w:rsidP="000C6411">
      <w:pPr>
        <w:jc w:val="center"/>
        <w:rPr>
          <w:rFonts w:cs="Arial"/>
          <w:bCs/>
        </w:rPr>
      </w:pPr>
      <w:r w:rsidRPr="004D5BD1">
        <w:rPr>
          <w:rFonts w:cs="Arial"/>
          <w:bCs/>
        </w:rPr>
        <w:t>Tabela 1 – Valores para a relação R/L</w:t>
      </w:r>
      <w:r w:rsidR="007E38AF">
        <w:rPr>
          <w:rFonts w:cs="Arial"/>
          <w:bCs/>
        </w:rPr>
        <w:t xml:space="preserve"> (reforço sobre largur</w:t>
      </w:r>
      <w:r>
        <w:rPr>
          <w:rFonts w:cs="Arial"/>
          <w:bCs/>
        </w:rPr>
        <w:t>a</w:t>
      </w:r>
      <w:r w:rsidR="007E38AF">
        <w:rPr>
          <w:rFonts w:cs="Arial"/>
          <w:bCs/>
        </w:rPr>
        <w:t xml:space="preserve"> – inverso da </w:t>
      </w:r>
      <w:proofErr w:type="spellStart"/>
      <w:r w:rsidR="007E38AF">
        <w:rPr>
          <w:rFonts w:cs="Arial"/>
          <w:bCs/>
        </w:rPr>
        <w:t>molhabilidade</w:t>
      </w:r>
      <w:proofErr w:type="spellEnd"/>
      <w:r>
        <w:rPr>
          <w:rFonts w:cs="Arial"/>
          <w:bCs/>
        </w:rPr>
        <w:t>)</w:t>
      </w:r>
    </w:p>
    <w:tbl>
      <w:tblPr>
        <w:tblStyle w:val="Tabelacomgrade"/>
        <w:tblW w:w="5000" w:type="pct"/>
        <w:tblLook w:val="04A0" w:firstRow="1" w:lastRow="0" w:firstColumn="1" w:lastColumn="0" w:noHBand="0" w:noVBand="1"/>
      </w:tblPr>
      <w:tblGrid>
        <w:gridCol w:w="1526"/>
        <w:gridCol w:w="1843"/>
        <w:gridCol w:w="1984"/>
        <w:gridCol w:w="1993"/>
        <w:gridCol w:w="1941"/>
      </w:tblGrid>
      <w:tr w:rsidR="000C6411" w:rsidTr="00BC6136">
        <w:tc>
          <w:tcPr>
            <w:tcW w:w="822" w:type="pct"/>
            <w:vAlign w:val="center"/>
          </w:tcPr>
          <w:p w:rsidR="000C6411" w:rsidRPr="00DD3C2C" w:rsidRDefault="000C6411" w:rsidP="00BC6136">
            <w:pPr>
              <w:spacing w:after="0" w:line="240" w:lineRule="auto"/>
              <w:jc w:val="center"/>
              <w:rPr>
                <w:rFonts w:ascii="Times New Roman" w:hAnsi="Times New Roman" w:cs="Times New Roman"/>
                <w:bCs/>
              </w:rPr>
            </w:pPr>
          </w:p>
        </w:tc>
        <w:tc>
          <w:tcPr>
            <w:tcW w:w="992" w:type="pct"/>
            <w:vAlign w:val="center"/>
          </w:tcPr>
          <w:p w:rsidR="000C6411" w:rsidRPr="00DD3C2C" w:rsidRDefault="000C6411" w:rsidP="00BC6136">
            <w:pPr>
              <w:spacing w:after="0" w:line="240" w:lineRule="auto"/>
              <w:ind w:firstLine="0"/>
              <w:rPr>
                <w:rFonts w:ascii="Times New Roman" w:hAnsi="Times New Roman" w:cs="Times New Roman"/>
                <w:bCs/>
              </w:rPr>
            </w:pPr>
            <w:r w:rsidRPr="00DD3C2C">
              <w:rPr>
                <w:rFonts w:ascii="Times New Roman" w:hAnsi="Times New Roman" w:cs="Times New Roman"/>
                <w:bCs/>
              </w:rPr>
              <w:t>Teste 32</w:t>
            </w:r>
          </w:p>
          <w:p w:rsidR="000C6411" w:rsidRPr="00DD3C2C" w:rsidRDefault="000C6411" w:rsidP="00BC6136">
            <w:pPr>
              <w:spacing w:after="0" w:line="240" w:lineRule="auto"/>
              <w:ind w:firstLine="0"/>
              <w:rPr>
                <w:rFonts w:ascii="Times New Roman" w:hAnsi="Times New Roman" w:cs="Times New Roman"/>
                <w:bCs/>
              </w:rPr>
            </w:pPr>
            <w:r w:rsidRPr="00DD3C2C">
              <w:rPr>
                <w:rFonts w:ascii="Times New Roman" w:hAnsi="Times New Roman" w:cs="Times New Roman"/>
                <w:bCs/>
              </w:rPr>
              <w:t xml:space="preserve">(sem </w:t>
            </w:r>
            <w:proofErr w:type="spellStart"/>
            <w:r w:rsidRPr="00DD3C2C">
              <w:rPr>
                <w:rFonts w:ascii="Times New Roman" w:hAnsi="Times New Roman" w:cs="Times New Roman"/>
                <w:bCs/>
              </w:rPr>
              <w:t>tecimento</w:t>
            </w:r>
            <w:proofErr w:type="spellEnd"/>
            <w:r w:rsidRPr="00DD3C2C">
              <w:rPr>
                <w:rFonts w:ascii="Times New Roman" w:hAnsi="Times New Roman" w:cs="Times New Roman"/>
                <w:bCs/>
              </w:rPr>
              <w:t>)</w:t>
            </w:r>
          </w:p>
        </w:tc>
        <w:tc>
          <w:tcPr>
            <w:tcW w:w="1068" w:type="pct"/>
            <w:vAlign w:val="center"/>
          </w:tcPr>
          <w:p w:rsidR="000C6411" w:rsidRPr="00DD3C2C" w:rsidRDefault="000C6411" w:rsidP="00BC6136">
            <w:pPr>
              <w:spacing w:after="0" w:line="240" w:lineRule="auto"/>
              <w:ind w:firstLine="0"/>
              <w:rPr>
                <w:rFonts w:ascii="Times New Roman" w:hAnsi="Times New Roman" w:cs="Times New Roman"/>
                <w:bCs/>
              </w:rPr>
            </w:pPr>
            <w:r w:rsidRPr="00DD3C2C">
              <w:rPr>
                <w:rFonts w:ascii="Times New Roman" w:hAnsi="Times New Roman" w:cs="Times New Roman"/>
                <w:bCs/>
              </w:rPr>
              <w:t>Teste 35</w:t>
            </w:r>
          </w:p>
          <w:p w:rsidR="000C6411" w:rsidRPr="00DD3C2C" w:rsidRDefault="000C6411" w:rsidP="00BC6136">
            <w:pPr>
              <w:spacing w:after="0" w:line="240" w:lineRule="auto"/>
              <w:ind w:firstLine="0"/>
              <w:rPr>
                <w:rFonts w:ascii="Times New Roman" w:hAnsi="Times New Roman" w:cs="Times New Roman"/>
                <w:bCs/>
              </w:rPr>
            </w:pPr>
            <w:r w:rsidRPr="00DD3C2C">
              <w:rPr>
                <w:rFonts w:ascii="Times New Roman" w:hAnsi="Times New Roman" w:cs="Times New Roman"/>
                <w:bCs/>
              </w:rPr>
              <w:t xml:space="preserve">(sem </w:t>
            </w:r>
            <w:proofErr w:type="spellStart"/>
            <w:r w:rsidRPr="00DD3C2C">
              <w:rPr>
                <w:rFonts w:ascii="Times New Roman" w:hAnsi="Times New Roman" w:cs="Times New Roman"/>
                <w:bCs/>
              </w:rPr>
              <w:t>tecimento</w:t>
            </w:r>
            <w:proofErr w:type="spellEnd"/>
            <w:r w:rsidRPr="00DD3C2C">
              <w:rPr>
                <w:rFonts w:ascii="Times New Roman" w:hAnsi="Times New Roman" w:cs="Times New Roman"/>
                <w:bCs/>
              </w:rPr>
              <w:t>)</w:t>
            </w:r>
          </w:p>
        </w:tc>
        <w:tc>
          <w:tcPr>
            <w:tcW w:w="1073" w:type="pct"/>
            <w:vAlign w:val="center"/>
          </w:tcPr>
          <w:p w:rsidR="000C6411" w:rsidRPr="00DD3C2C" w:rsidRDefault="000C6411" w:rsidP="00BC6136">
            <w:pPr>
              <w:spacing w:after="0" w:line="240" w:lineRule="auto"/>
              <w:ind w:firstLine="0"/>
              <w:rPr>
                <w:rFonts w:ascii="Times New Roman" w:hAnsi="Times New Roman" w:cs="Times New Roman"/>
                <w:bCs/>
              </w:rPr>
            </w:pPr>
            <w:r w:rsidRPr="00DD3C2C">
              <w:rPr>
                <w:rFonts w:ascii="Times New Roman" w:hAnsi="Times New Roman" w:cs="Times New Roman"/>
                <w:bCs/>
              </w:rPr>
              <w:t>Teste 61</w:t>
            </w:r>
          </w:p>
          <w:p w:rsidR="000C6411" w:rsidRPr="00DD3C2C" w:rsidRDefault="000C6411" w:rsidP="00BC6136">
            <w:pPr>
              <w:spacing w:after="0" w:line="240" w:lineRule="auto"/>
              <w:ind w:firstLine="0"/>
              <w:rPr>
                <w:rFonts w:ascii="Times New Roman" w:hAnsi="Times New Roman" w:cs="Times New Roman"/>
                <w:bCs/>
              </w:rPr>
            </w:pPr>
            <w:r w:rsidRPr="00DD3C2C">
              <w:rPr>
                <w:rFonts w:ascii="Times New Roman" w:hAnsi="Times New Roman" w:cs="Times New Roman"/>
                <w:bCs/>
              </w:rPr>
              <w:t xml:space="preserve">(com </w:t>
            </w:r>
            <w:proofErr w:type="spellStart"/>
            <w:r w:rsidRPr="00DD3C2C">
              <w:rPr>
                <w:rFonts w:ascii="Times New Roman" w:hAnsi="Times New Roman" w:cs="Times New Roman"/>
                <w:bCs/>
              </w:rPr>
              <w:t>tecimento</w:t>
            </w:r>
            <w:proofErr w:type="spellEnd"/>
            <w:r w:rsidRPr="00DD3C2C">
              <w:rPr>
                <w:rFonts w:ascii="Times New Roman" w:hAnsi="Times New Roman" w:cs="Times New Roman"/>
                <w:bCs/>
              </w:rPr>
              <w:t>)</w:t>
            </w:r>
          </w:p>
        </w:tc>
        <w:tc>
          <w:tcPr>
            <w:tcW w:w="1045" w:type="pct"/>
            <w:vAlign w:val="center"/>
          </w:tcPr>
          <w:p w:rsidR="000C6411" w:rsidRPr="00DD3C2C" w:rsidRDefault="000C6411" w:rsidP="00BC6136">
            <w:pPr>
              <w:spacing w:after="0" w:line="240" w:lineRule="auto"/>
              <w:ind w:firstLine="0"/>
              <w:rPr>
                <w:rFonts w:ascii="Times New Roman" w:hAnsi="Times New Roman" w:cs="Times New Roman"/>
                <w:bCs/>
              </w:rPr>
            </w:pPr>
            <w:r w:rsidRPr="00DD3C2C">
              <w:rPr>
                <w:rFonts w:ascii="Times New Roman" w:hAnsi="Times New Roman" w:cs="Times New Roman"/>
                <w:bCs/>
              </w:rPr>
              <w:t>Teste 62</w:t>
            </w:r>
          </w:p>
          <w:p w:rsidR="000C6411" w:rsidRPr="00DD3C2C" w:rsidRDefault="000C6411" w:rsidP="00BC6136">
            <w:pPr>
              <w:spacing w:after="0" w:line="240" w:lineRule="auto"/>
              <w:ind w:firstLine="0"/>
              <w:rPr>
                <w:rFonts w:ascii="Times New Roman" w:hAnsi="Times New Roman" w:cs="Times New Roman"/>
                <w:bCs/>
              </w:rPr>
            </w:pPr>
            <w:r w:rsidRPr="00DD3C2C">
              <w:rPr>
                <w:rFonts w:ascii="Times New Roman" w:hAnsi="Times New Roman" w:cs="Times New Roman"/>
                <w:bCs/>
              </w:rPr>
              <w:t xml:space="preserve">(com </w:t>
            </w:r>
            <w:proofErr w:type="spellStart"/>
            <w:r w:rsidRPr="00DD3C2C">
              <w:rPr>
                <w:rFonts w:ascii="Times New Roman" w:hAnsi="Times New Roman" w:cs="Times New Roman"/>
                <w:bCs/>
              </w:rPr>
              <w:t>tecimento</w:t>
            </w:r>
            <w:proofErr w:type="spellEnd"/>
            <w:r w:rsidRPr="00DD3C2C">
              <w:rPr>
                <w:rFonts w:ascii="Times New Roman" w:hAnsi="Times New Roman" w:cs="Times New Roman"/>
                <w:bCs/>
              </w:rPr>
              <w:t>)</w:t>
            </w:r>
          </w:p>
        </w:tc>
      </w:tr>
      <w:tr w:rsidR="000C6411" w:rsidTr="00BC6136">
        <w:tc>
          <w:tcPr>
            <w:tcW w:w="822" w:type="pct"/>
            <w:vAlign w:val="center"/>
          </w:tcPr>
          <w:p w:rsidR="000C6411" w:rsidRPr="00DD3C2C" w:rsidRDefault="000C6411" w:rsidP="00BC6136">
            <w:pPr>
              <w:spacing w:after="0" w:line="240" w:lineRule="auto"/>
              <w:ind w:firstLine="0"/>
              <w:rPr>
                <w:rFonts w:ascii="Times New Roman" w:hAnsi="Times New Roman" w:cs="Times New Roman"/>
                <w:bCs/>
              </w:rPr>
            </w:pPr>
            <w:r w:rsidRPr="00DD3C2C">
              <w:rPr>
                <w:rFonts w:ascii="Times New Roman" w:hAnsi="Times New Roman" w:cs="Times New Roman"/>
                <w:bCs/>
              </w:rPr>
              <w:t>Substrato</w:t>
            </w:r>
          </w:p>
        </w:tc>
        <w:tc>
          <w:tcPr>
            <w:tcW w:w="992" w:type="pct"/>
            <w:vAlign w:val="center"/>
          </w:tcPr>
          <w:p w:rsidR="000C6411" w:rsidRPr="00DD3C2C" w:rsidRDefault="000C6411" w:rsidP="00BC6136">
            <w:pPr>
              <w:spacing w:after="0" w:line="240" w:lineRule="auto"/>
              <w:ind w:firstLine="0"/>
              <w:rPr>
                <w:rFonts w:ascii="Times New Roman" w:hAnsi="Times New Roman" w:cs="Times New Roman"/>
                <w:bCs/>
              </w:rPr>
            </w:pPr>
            <w:proofErr w:type="gramStart"/>
            <w:r w:rsidRPr="00DD3C2C">
              <w:rPr>
                <w:rFonts w:ascii="Times New Roman" w:hAnsi="Times New Roman" w:cs="Times New Roman"/>
                <w:bCs/>
              </w:rPr>
              <w:t>316</w:t>
            </w:r>
            <w:r w:rsidR="004D5BD1">
              <w:rPr>
                <w:rFonts w:ascii="Times New Roman" w:hAnsi="Times New Roman" w:cs="Times New Roman"/>
                <w:bCs/>
              </w:rPr>
              <w:t xml:space="preserve"> </w:t>
            </w:r>
            <w:r w:rsidRPr="00DD3C2C">
              <w:rPr>
                <w:rFonts w:ascii="Times New Roman" w:hAnsi="Times New Roman" w:cs="Times New Roman"/>
                <w:bCs/>
              </w:rPr>
              <w:t>L</w:t>
            </w:r>
            <w:proofErr w:type="gramEnd"/>
          </w:p>
        </w:tc>
        <w:tc>
          <w:tcPr>
            <w:tcW w:w="1068" w:type="pct"/>
            <w:vAlign w:val="center"/>
          </w:tcPr>
          <w:p w:rsidR="000C6411" w:rsidRPr="00DD3C2C" w:rsidRDefault="000C6411" w:rsidP="00BC6136">
            <w:pPr>
              <w:spacing w:after="0" w:line="240" w:lineRule="auto"/>
              <w:ind w:firstLine="0"/>
              <w:rPr>
                <w:rFonts w:ascii="Times New Roman" w:hAnsi="Times New Roman" w:cs="Times New Roman"/>
                <w:bCs/>
              </w:rPr>
            </w:pPr>
            <w:r w:rsidRPr="00DD3C2C">
              <w:rPr>
                <w:rFonts w:ascii="Times New Roman" w:hAnsi="Times New Roman" w:cs="Times New Roman"/>
                <w:bCs/>
              </w:rPr>
              <w:t>Aço Carbono</w:t>
            </w:r>
          </w:p>
        </w:tc>
        <w:tc>
          <w:tcPr>
            <w:tcW w:w="1073" w:type="pct"/>
            <w:vAlign w:val="center"/>
          </w:tcPr>
          <w:p w:rsidR="000C6411" w:rsidRPr="00DD3C2C" w:rsidRDefault="000C6411" w:rsidP="00BC6136">
            <w:pPr>
              <w:spacing w:after="0" w:line="240" w:lineRule="auto"/>
              <w:ind w:firstLine="0"/>
              <w:rPr>
                <w:rFonts w:ascii="Times New Roman" w:hAnsi="Times New Roman" w:cs="Times New Roman"/>
                <w:bCs/>
              </w:rPr>
            </w:pPr>
            <w:proofErr w:type="gramStart"/>
            <w:r w:rsidRPr="00DD3C2C">
              <w:rPr>
                <w:rFonts w:ascii="Times New Roman" w:hAnsi="Times New Roman" w:cs="Times New Roman"/>
                <w:bCs/>
              </w:rPr>
              <w:t>316</w:t>
            </w:r>
            <w:r w:rsidR="004D5BD1">
              <w:rPr>
                <w:rFonts w:ascii="Times New Roman" w:hAnsi="Times New Roman" w:cs="Times New Roman"/>
                <w:bCs/>
              </w:rPr>
              <w:t xml:space="preserve"> </w:t>
            </w:r>
            <w:r w:rsidRPr="00DD3C2C">
              <w:rPr>
                <w:rFonts w:ascii="Times New Roman" w:hAnsi="Times New Roman" w:cs="Times New Roman"/>
                <w:bCs/>
              </w:rPr>
              <w:t>L</w:t>
            </w:r>
            <w:proofErr w:type="gramEnd"/>
          </w:p>
        </w:tc>
        <w:tc>
          <w:tcPr>
            <w:tcW w:w="1045" w:type="pct"/>
            <w:vAlign w:val="center"/>
          </w:tcPr>
          <w:p w:rsidR="000C6411" w:rsidRPr="00DD3C2C" w:rsidRDefault="000C6411" w:rsidP="00BC6136">
            <w:pPr>
              <w:spacing w:after="0" w:line="240" w:lineRule="auto"/>
              <w:ind w:firstLine="0"/>
              <w:rPr>
                <w:rFonts w:ascii="Times New Roman" w:hAnsi="Times New Roman" w:cs="Times New Roman"/>
                <w:bCs/>
              </w:rPr>
            </w:pPr>
            <w:r w:rsidRPr="00DD3C2C">
              <w:rPr>
                <w:rFonts w:ascii="Times New Roman" w:hAnsi="Times New Roman" w:cs="Times New Roman"/>
                <w:bCs/>
              </w:rPr>
              <w:t>Aço Carbono</w:t>
            </w:r>
          </w:p>
        </w:tc>
      </w:tr>
      <w:tr w:rsidR="000C6411" w:rsidTr="00BC6136">
        <w:tc>
          <w:tcPr>
            <w:tcW w:w="822" w:type="pct"/>
            <w:vAlign w:val="center"/>
          </w:tcPr>
          <w:p w:rsidR="000C6411" w:rsidRPr="00DD3C2C" w:rsidRDefault="000C6411" w:rsidP="00BC6136">
            <w:pPr>
              <w:spacing w:after="0" w:line="240" w:lineRule="auto"/>
              <w:ind w:firstLine="0"/>
              <w:rPr>
                <w:rFonts w:ascii="Times New Roman" w:hAnsi="Times New Roman" w:cs="Times New Roman"/>
                <w:bCs/>
              </w:rPr>
            </w:pPr>
            <w:r w:rsidRPr="00DD3C2C">
              <w:rPr>
                <w:rFonts w:ascii="Times New Roman" w:hAnsi="Times New Roman" w:cs="Times New Roman"/>
                <w:bCs/>
              </w:rPr>
              <w:t>Relação R/L</w:t>
            </w:r>
          </w:p>
        </w:tc>
        <w:tc>
          <w:tcPr>
            <w:tcW w:w="992" w:type="pct"/>
            <w:vAlign w:val="center"/>
          </w:tcPr>
          <w:p w:rsidR="000C6411" w:rsidRPr="00DD3C2C" w:rsidRDefault="000C6411" w:rsidP="00BC6136">
            <w:pPr>
              <w:spacing w:after="0" w:line="240" w:lineRule="auto"/>
              <w:ind w:firstLine="0"/>
              <w:rPr>
                <w:rFonts w:ascii="Times New Roman" w:hAnsi="Times New Roman" w:cs="Times New Roman"/>
                <w:bCs/>
              </w:rPr>
            </w:pPr>
            <w:r w:rsidRPr="00DD3C2C">
              <w:rPr>
                <w:rFonts w:ascii="Times New Roman" w:hAnsi="Times New Roman" w:cs="Times New Roman"/>
                <w:bCs/>
              </w:rPr>
              <w:t>0,54</w:t>
            </w:r>
          </w:p>
        </w:tc>
        <w:tc>
          <w:tcPr>
            <w:tcW w:w="1068" w:type="pct"/>
            <w:vAlign w:val="center"/>
          </w:tcPr>
          <w:p w:rsidR="000C6411" w:rsidRPr="00DD3C2C" w:rsidRDefault="000C6411" w:rsidP="00BC6136">
            <w:pPr>
              <w:spacing w:after="0" w:line="240" w:lineRule="auto"/>
              <w:ind w:firstLine="0"/>
              <w:rPr>
                <w:rFonts w:ascii="Times New Roman" w:hAnsi="Times New Roman" w:cs="Times New Roman"/>
                <w:bCs/>
              </w:rPr>
            </w:pPr>
            <w:r w:rsidRPr="00DD3C2C">
              <w:rPr>
                <w:rFonts w:ascii="Times New Roman" w:hAnsi="Times New Roman" w:cs="Times New Roman"/>
                <w:bCs/>
              </w:rPr>
              <w:t>0,83</w:t>
            </w:r>
          </w:p>
        </w:tc>
        <w:tc>
          <w:tcPr>
            <w:tcW w:w="1073" w:type="pct"/>
            <w:vAlign w:val="center"/>
          </w:tcPr>
          <w:p w:rsidR="000C6411" w:rsidRPr="00DD3C2C" w:rsidRDefault="000C6411" w:rsidP="00BC6136">
            <w:pPr>
              <w:spacing w:after="0" w:line="240" w:lineRule="auto"/>
              <w:ind w:firstLine="0"/>
              <w:rPr>
                <w:rFonts w:ascii="Times New Roman" w:hAnsi="Times New Roman" w:cs="Times New Roman"/>
                <w:bCs/>
              </w:rPr>
            </w:pPr>
            <w:r w:rsidRPr="00DD3C2C">
              <w:rPr>
                <w:rFonts w:ascii="Times New Roman" w:hAnsi="Times New Roman" w:cs="Times New Roman"/>
                <w:bCs/>
              </w:rPr>
              <w:t>0,26</w:t>
            </w:r>
          </w:p>
        </w:tc>
        <w:tc>
          <w:tcPr>
            <w:tcW w:w="1045" w:type="pct"/>
            <w:vAlign w:val="center"/>
          </w:tcPr>
          <w:p w:rsidR="000C6411" w:rsidRPr="00DD3C2C" w:rsidRDefault="000C6411" w:rsidP="00BC6136">
            <w:pPr>
              <w:spacing w:after="0" w:line="240" w:lineRule="auto"/>
              <w:ind w:firstLine="0"/>
              <w:rPr>
                <w:rFonts w:ascii="Times New Roman" w:hAnsi="Times New Roman" w:cs="Times New Roman"/>
                <w:bCs/>
              </w:rPr>
            </w:pPr>
            <w:r w:rsidRPr="00DD3C2C">
              <w:rPr>
                <w:rFonts w:ascii="Times New Roman" w:hAnsi="Times New Roman" w:cs="Times New Roman"/>
                <w:bCs/>
              </w:rPr>
              <w:t>0,36</w:t>
            </w:r>
          </w:p>
        </w:tc>
      </w:tr>
    </w:tbl>
    <w:p w:rsidR="000C6411" w:rsidRDefault="000C6411" w:rsidP="0029083B">
      <w:pPr>
        <w:pStyle w:val="Ttulodaseoprimria"/>
      </w:pPr>
    </w:p>
    <w:p w:rsidR="009D0723" w:rsidRDefault="001A10FF" w:rsidP="0029083B">
      <w:pPr>
        <w:pStyle w:val="Ttulodaseoprimria"/>
        <w:rPr>
          <w:sz w:val="24"/>
        </w:rPr>
      </w:pPr>
      <w:proofErr w:type="gramStart"/>
      <w:r>
        <w:rPr>
          <w:sz w:val="24"/>
        </w:rPr>
        <w:t>5</w:t>
      </w:r>
      <w:proofErr w:type="gramEnd"/>
      <w:r w:rsidR="0082219D" w:rsidRPr="0082219D">
        <w:rPr>
          <w:sz w:val="24"/>
        </w:rPr>
        <w:t xml:space="preserve"> CONSIDERAÇÕES FINAIS</w:t>
      </w:r>
    </w:p>
    <w:p w:rsidR="003220E0" w:rsidRDefault="003220E0" w:rsidP="0029083B">
      <w:pPr>
        <w:pStyle w:val="Ttulodaseoprimria"/>
        <w:rPr>
          <w:sz w:val="24"/>
        </w:rPr>
      </w:pPr>
    </w:p>
    <w:p w:rsidR="009D0723" w:rsidRDefault="00376B05" w:rsidP="0029083B">
      <w:r>
        <w:t xml:space="preserve">Conclui-se com estes resultados que o </w:t>
      </w:r>
      <w:proofErr w:type="spellStart"/>
      <w:r>
        <w:t>tecimento</w:t>
      </w:r>
      <w:proofErr w:type="spellEnd"/>
      <w:r>
        <w:t xml:space="preserve"> produz cordões com maior </w:t>
      </w:r>
      <w:proofErr w:type="spellStart"/>
      <w:r>
        <w:t>molhabilidade</w:t>
      </w:r>
      <w:proofErr w:type="spellEnd"/>
      <w:r>
        <w:t xml:space="preserve"> e apresenta uma possibilidade de interposição do aço inoxidável entre o </w:t>
      </w:r>
      <w:proofErr w:type="spellStart"/>
      <w:r>
        <w:t>Inconel</w:t>
      </w:r>
      <w:proofErr w:type="spellEnd"/>
      <w:r>
        <w:t xml:space="preserve"> e o aço carbono com objetivo de melhor a </w:t>
      </w:r>
      <w:proofErr w:type="spellStart"/>
      <w:r>
        <w:t>molhabilidado</w:t>
      </w:r>
      <w:proofErr w:type="spellEnd"/>
      <w:r>
        <w:t xml:space="preserve"> do </w:t>
      </w:r>
      <w:proofErr w:type="spellStart"/>
      <w:r>
        <w:t>Inconel</w:t>
      </w:r>
      <w:proofErr w:type="spellEnd"/>
      <w:r>
        <w:t>.</w:t>
      </w:r>
    </w:p>
    <w:p w:rsidR="00376B05" w:rsidRDefault="00376B05" w:rsidP="0029083B"/>
    <w:p w:rsidR="000B32BD" w:rsidRPr="00D8090F" w:rsidRDefault="0082219D" w:rsidP="00711AA3">
      <w:pPr>
        <w:pStyle w:val="Ttulodaseoprimria"/>
        <w:jc w:val="left"/>
      </w:pPr>
      <w:r w:rsidRPr="00D8090F">
        <w:t>REFERÊNCIAS</w:t>
      </w:r>
    </w:p>
    <w:p w:rsidR="00376B05" w:rsidRPr="000B4376" w:rsidRDefault="00376B05" w:rsidP="00376B05">
      <w:pPr>
        <w:pStyle w:val="Referncias"/>
      </w:pPr>
      <w:proofErr w:type="spellStart"/>
      <w:proofErr w:type="gramStart"/>
      <w:r w:rsidRPr="00AB23F9">
        <w:rPr>
          <w:lang w:val="en-US"/>
        </w:rPr>
        <w:t>Gittos</w:t>
      </w:r>
      <w:proofErr w:type="spellEnd"/>
      <w:r w:rsidRPr="00AB23F9">
        <w:rPr>
          <w:lang w:val="en-US"/>
        </w:rPr>
        <w:t xml:space="preserve">, M.F; Gooch T.G. Effect of iron dilution on corrosion resistance of </w:t>
      </w:r>
      <w:proofErr w:type="spellStart"/>
      <w:r w:rsidRPr="00AB23F9">
        <w:rPr>
          <w:lang w:val="en-US"/>
        </w:rPr>
        <w:t>NCr</w:t>
      </w:r>
      <w:proofErr w:type="spellEnd"/>
      <w:r w:rsidRPr="00AB23F9">
        <w:rPr>
          <w:lang w:val="en-US"/>
        </w:rPr>
        <w:t>-Mo alloy cladding.</w:t>
      </w:r>
      <w:proofErr w:type="gramEnd"/>
      <w:r w:rsidRPr="00AB23F9">
        <w:rPr>
          <w:lang w:val="en-US"/>
        </w:rPr>
        <w:t xml:space="preserve"> </w:t>
      </w:r>
      <w:r w:rsidRPr="000B4376">
        <w:t xml:space="preserve">British </w:t>
      </w:r>
      <w:proofErr w:type="spellStart"/>
      <w:r w:rsidRPr="000B4376">
        <w:t>Corrosion</w:t>
      </w:r>
      <w:proofErr w:type="spellEnd"/>
      <w:r w:rsidRPr="000B4376">
        <w:t xml:space="preserve"> </w:t>
      </w:r>
      <w:proofErr w:type="spellStart"/>
      <w:r w:rsidRPr="000B4376">
        <w:t>Journal</w:t>
      </w:r>
      <w:proofErr w:type="spellEnd"/>
      <w:r w:rsidRPr="000B4376">
        <w:t>, Vol. 31, nº4, p. 309-314, 1996.</w:t>
      </w:r>
    </w:p>
    <w:p w:rsidR="00376B05" w:rsidRDefault="00376B05" w:rsidP="00300CAC">
      <w:pPr>
        <w:pStyle w:val="Referncias"/>
        <w:jc w:val="both"/>
      </w:pPr>
      <w:r>
        <w:t>Silva, C. C. Revestimentos de Ligas de Níquel Depositados pelo Processo TIG com Alimentação de Arame Frio – Aspectos Operacionais e Metalúrgicos. Tese de Doutorado. Universidade Federal do Ceará. 2010. 355p.</w:t>
      </w:r>
    </w:p>
    <w:sectPr w:rsidR="00376B05" w:rsidSect="0082219D">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45" w:rsidRDefault="00CD1645" w:rsidP="00B11590">
      <w:r>
        <w:separator/>
      </w:r>
    </w:p>
  </w:endnote>
  <w:endnote w:type="continuationSeparator" w:id="0">
    <w:p w:rsidR="00CD1645" w:rsidRDefault="00CD1645" w:rsidP="00B1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97" w:rsidRDefault="00E10B9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97" w:rsidRDefault="00E10B9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97" w:rsidRDefault="00E10B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45" w:rsidRDefault="00CD1645" w:rsidP="00B11590">
      <w:r>
        <w:separator/>
      </w:r>
    </w:p>
  </w:footnote>
  <w:footnote w:type="continuationSeparator" w:id="0">
    <w:p w:rsidR="00CD1645" w:rsidRDefault="00CD1645" w:rsidP="00B1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97" w:rsidRDefault="00E10B9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67" w:rsidRPr="00E10B97" w:rsidRDefault="00E10B97" w:rsidP="00F34C67">
    <w:pPr>
      <w:pStyle w:val="Cabealho"/>
      <w:jc w:val="center"/>
      <w:rPr>
        <w:rStyle w:val="Forte"/>
      </w:rPr>
    </w:pPr>
    <w:r w:rsidRPr="00E10B97">
      <w:rPr>
        <w:rStyle w:val="Forte"/>
      </w:rPr>
      <w:t>13ª Mostra da Produção Universitária</w:t>
    </w:r>
  </w:p>
  <w:p w:rsidR="00D141AD" w:rsidRDefault="00D141AD" w:rsidP="00D141AD">
    <w:pPr>
      <w:pStyle w:val="Cabealho"/>
      <w:jc w:val="left"/>
      <w:rPr>
        <w:rStyle w:val="Forte"/>
        <w:b w:val="0"/>
        <w:sz w:val="20"/>
        <w:szCs w:val="20"/>
      </w:rPr>
    </w:pPr>
    <w:r>
      <w:rPr>
        <w:rStyle w:val="Forte"/>
        <w:b w:val="0"/>
        <w:sz w:val="20"/>
        <w:szCs w:val="20"/>
      </w:rPr>
      <w:t xml:space="preserve">.                                      </w:t>
    </w:r>
  </w:p>
  <w:p w:rsidR="00F34C67" w:rsidRPr="00D141AD" w:rsidRDefault="00D141AD" w:rsidP="00D141AD">
    <w:pPr>
      <w:pStyle w:val="Cabealho"/>
      <w:jc w:val="left"/>
      <w:rPr>
        <w:bCs/>
        <w:sz w:val="20"/>
        <w:szCs w:val="20"/>
      </w:rPr>
    </w:pPr>
    <w:r>
      <w:rPr>
        <w:rStyle w:val="Forte"/>
        <w:b w:val="0"/>
        <w:sz w:val="20"/>
        <w:szCs w:val="20"/>
      </w:rPr>
      <w:t xml:space="preserve">                                       </w:t>
    </w:r>
    <w:r w:rsidR="00F34C67" w:rsidRPr="00F34C67">
      <w:rPr>
        <w:rStyle w:val="Forte"/>
        <w:b w:val="0"/>
        <w:sz w:val="18"/>
        <w:szCs w:val="20"/>
      </w:rPr>
      <w:t xml:space="preserve">Rio Grande/RS, Brasil, </w:t>
    </w:r>
    <w:r w:rsidR="00E10B97">
      <w:rPr>
        <w:rStyle w:val="Forte"/>
        <w:b w:val="0"/>
        <w:sz w:val="18"/>
        <w:szCs w:val="20"/>
      </w:rPr>
      <w:t>14</w:t>
    </w:r>
    <w:r w:rsidR="00F34C67" w:rsidRPr="00F34C67">
      <w:rPr>
        <w:rStyle w:val="Forte"/>
        <w:b w:val="0"/>
        <w:sz w:val="18"/>
        <w:szCs w:val="20"/>
      </w:rPr>
      <w:t xml:space="preserve"> a </w:t>
    </w:r>
    <w:r w:rsidR="00E10B97">
      <w:rPr>
        <w:rStyle w:val="Forte"/>
        <w:b w:val="0"/>
        <w:sz w:val="18"/>
        <w:szCs w:val="20"/>
      </w:rPr>
      <w:t>17</w:t>
    </w:r>
    <w:r w:rsidR="00F34C67" w:rsidRPr="00F34C67">
      <w:rPr>
        <w:rStyle w:val="Forte"/>
        <w:b w:val="0"/>
        <w:sz w:val="18"/>
        <w:szCs w:val="20"/>
      </w:rPr>
      <w:t xml:space="preserve"> de outubro de 201</w:t>
    </w:r>
    <w:r w:rsidR="00E10B97">
      <w:rPr>
        <w:rStyle w:val="Forte"/>
        <w:b w:val="0"/>
        <w:sz w:val="18"/>
        <w:szCs w:val="20"/>
      </w:rPr>
      <w:t>4</w:t>
    </w:r>
    <w:r w:rsidR="00F34C67" w:rsidRPr="00F34C67">
      <w:rPr>
        <w:rStyle w:val="Forte"/>
        <w:b w:val="0"/>
        <w:sz w:val="18"/>
        <w:szCs w:val="20"/>
      </w:rPr>
      <w:t>.</w:t>
    </w:r>
  </w:p>
  <w:p w:rsidR="00F34C67" w:rsidRDefault="00F34C67" w:rsidP="00F34C67">
    <w:pPr>
      <w:pStyle w:val="Cabealho"/>
      <w:jc w:val="left"/>
      <w:rPr>
        <w:rStyle w:val="Forte"/>
        <w:b w:val="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97" w:rsidRDefault="00E10B9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23"/>
    <w:rsid w:val="000033F3"/>
    <w:rsid w:val="000406F3"/>
    <w:rsid w:val="000B32BD"/>
    <w:rsid w:val="000C612B"/>
    <w:rsid w:val="000C6411"/>
    <w:rsid w:val="000F630E"/>
    <w:rsid w:val="0012354B"/>
    <w:rsid w:val="00125006"/>
    <w:rsid w:val="001826AD"/>
    <w:rsid w:val="00185FE1"/>
    <w:rsid w:val="001A10FF"/>
    <w:rsid w:val="001C7B8C"/>
    <w:rsid w:val="001C7EAD"/>
    <w:rsid w:val="001E496B"/>
    <w:rsid w:val="00203D0A"/>
    <w:rsid w:val="0024774D"/>
    <w:rsid w:val="0029083B"/>
    <w:rsid w:val="002A7A57"/>
    <w:rsid w:val="002F7EB8"/>
    <w:rsid w:val="00300CAC"/>
    <w:rsid w:val="003220E0"/>
    <w:rsid w:val="00376B05"/>
    <w:rsid w:val="003C0392"/>
    <w:rsid w:val="00450C0F"/>
    <w:rsid w:val="00493589"/>
    <w:rsid w:val="004A54EB"/>
    <w:rsid w:val="004D5BD1"/>
    <w:rsid w:val="004E07E1"/>
    <w:rsid w:val="004F7A69"/>
    <w:rsid w:val="00520FB9"/>
    <w:rsid w:val="00534430"/>
    <w:rsid w:val="00595D5E"/>
    <w:rsid w:val="00641801"/>
    <w:rsid w:val="006751EA"/>
    <w:rsid w:val="006A4184"/>
    <w:rsid w:val="006F1A5E"/>
    <w:rsid w:val="006F76EF"/>
    <w:rsid w:val="0070021A"/>
    <w:rsid w:val="00711AA3"/>
    <w:rsid w:val="00724A7E"/>
    <w:rsid w:val="00731B6A"/>
    <w:rsid w:val="007C2D07"/>
    <w:rsid w:val="007E38AF"/>
    <w:rsid w:val="007E46CB"/>
    <w:rsid w:val="00806414"/>
    <w:rsid w:val="0082219D"/>
    <w:rsid w:val="00927D81"/>
    <w:rsid w:val="00941544"/>
    <w:rsid w:val="0095356D"/>
    <w:rsid w:val="009B0959"/>
    <w:rsid w:val="009D0723"/>
    <w:rsid w:val="009F1118"/>
    <w:rsid w:val="00A56E01"/>
    <w:rsid w:val="00A73AB2"/>
    <w:rsid w:val="00A756D1"/>
    <w:rsid w:val="00A771C1"/>
    <w:rsid w:val="00A802B0"/>
    <w:rsid w:val="00AB23F9"/>
    <w:rsid w:val="00B11590"/>
    <w:rsid w:val="00BC6136"/>
    <w:rsid w:val="00BE7921"/>
    <w:rsid w:val="00C16DD6"/>
    <w:rsid w:val="00C341B4"/>
    <w:rsid w:val="00C47B84"/>
    <w:rsid w:val="00C950B7"/>
    <w:rsid w:val="00CA48C2"/>
    <w:rsid w:val="00CC3E16"/>
    <w:rsid w:val="00CC6302"/>
    <w:rsid w:val="00CD1645"/>
    <w:rsid w:val="00CF1B19"/>
    <w:rsid w:val="00D141AD"/>
    <w:rsid w:val="00D25A87"/>
    <w:rsid w:val="00D43862"/>
    <w:rsid w:val="00D740C6"/>
    <w:rsid w:val="00D753F3"/>
    <w:rsid w:val="00DA6DA3"/>
    <w:rsid w:val="00DD1B99"/>
    <w:rsid w:val="00DE6963"/>
    <w:rsid w:val="00E10B97"/>
    <w:rsid w:val="00EA51E0"/>
    <w:rsid w:val="00EB13F7"/>
    <w:rsid w:val="00F32619"/>
    <w:rsid w:val="00F34C67"/>
    <w:rsid w:val="00F56270"/>
    <w:rsid w:val="00F65AE9"/>
    <w:rsid w:val="00FB279D"/>
    <w:rsid w:val="00FB3E05"/>
    <w:rsid w:val="00FD4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 w:type="table" w:styleId="Tabelacomgrade">
    <w:name w:val="Table Grid"/>
    <w:basedOn w:val="Tabelanormal"/>
    <w:uiPriority w:val="99"/>
    <w:rsid w:val="007E46CB"/>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 w:type="table" w:styleId="Tabelacomgrade">
    <w:name w:val="Table Grid"/>
    <w:basedOn w:val="Tabelanormal"/>
    <w:uiPriority w:val="99"/>
    <w:rsid w:val="007E46CB"/>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BC03B-9C0C-42A5-B13F-5725D6F4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4717</CharactersWithSpaces>
  <SharedDoc>false</SharedDoc>
  <HLinks>
    <vt:vector size="6" baseType="variant">
      <vt:variant>
        <vt:i4>8061054</vt:i4>
      </vt:variant>
      <vt:variant>
        <vt:i4>0</vt:i4>
      </vt:variant>
      <vt:variant>
        <vt:i4>0</vt:i4>
      </vt:variant>
      <vt:variant>
        <vt:i4>5</vt:i4>
      </vt:variant>
      <vt:variant>
        <vt:lpwstr>http://www.mpu.furg.br/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Augusto Gutierres</cp:lastModifiedBy>
  <cp:revision>2</cp:revision>
  <cp:lastPrinted>2013-05-31T18:34:00Z</cp:lastPrinted>
  <dcterms:created xsi:type="dcterms:W3CDTF">2014-09-01T15:03:00Z</dcterms:created>
  <dcterms:modified xsi:type="dcterms:W3CDTF">2014-09-01T15:03:00Z</dcterms:modified>
</cp:coreProperties>
</file>